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14 September 2026, after Phase 37.</w:t>
      </w:r>
    </w:p>
    <w:p>
      <w:pPr>
        <w:spacing w:after="160"/>
      </w:pPr>
      <w:r>
        <w:rPr>
          <w:rFonts w:ascii="Public Sans" w:hAnsi="Public Sans"/>
          <w:b w:val="0"/>
          <w:i w:val="0"/>
          <w:color w:val="6B7577"/>
          <w:sz w:val="19"/>
        </w:rPr>
        <w:t>138 tables, 68 enumerations, 2168 columns; 44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138 tables in 12 domains, 68 enumerations, 2168 columns, defined in packages/db/prisma/schema.prisma and applied by 44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35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12</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882834"/>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882834"/>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bl>
    <w:p>
      <w:pPr>
        <w:spacing w:after="80"/>
      </w:pPr>
    </w:p>
    <w:p>
      <w:r>
        <w:br w:type="page"/>
      </w:r>
    </w:p>
    <w:p>
      <w:pPr>
        <w:jc w:val="center"/>
      </w:pPr>
      <w:r>
        <w:drawing>
          <wp:inline xmlns:a="http://schemas.openxmlformats.org/drawingml/2006/main" xmlns:pic="http://schemas.openxmlformats.org/drawingml/2006/picture">
            <wp:extent cx="9108000" cy="2991571"/>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991571"/>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31</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bl>
    <w:p>
      <w:pPr>
        <w:spacing w:after="80"/>
      </w:pPr>
    </w:p>
    <w:p>
      <w:r>
        <w:br w:type="page"/>
      </w:r>
    </w:p>
    <w:p>
      <w:pPr>
        <w:jc w:val="center"/>
      </w:pPr>
      <w:r>
        <w:drawing>
          <wp:inline xmlns:a="http://schemas.openxmlformats.org/drawingml/2006/main" xmlns:pic="http://schemas.openxmlformats.org/drawingml/2006/picture">
            <wp:extent cx="9108000" cy="2737821"/>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737821"/>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8025827" cy="5832000"/>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8025827" cy="5832000"/>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04930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04930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14</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774082"/>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774082"/>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5347540" cy="5831999"/>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5347540" cy="5831999"/>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2623431"/>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2623431"/>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652425"/>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652425"/>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7597612"/>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7597612"/>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648615"/>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648615"/>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7329938"/>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7329938"/>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15473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15473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39214388"/>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39214388"/>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4955100"/>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4955100"/>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8992012"/>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8992012"/>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692338"/>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692338"/>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53675"/>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53675"/>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55500"/>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55500"/>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080985"/>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080985"/>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225330954"/>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225330954"/>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VehicleEvent, VehicleEventAttachment, VehicleOwnership, OdometerReading, VehicleAccessGrant, PassportShare, PassportShareAccess, Recall, VehicleRecall, VehicleDocument, VehicleClaim, PartFitment</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SuppressedAddress, DeliveryEvent, ReviewRequest, LoyaltyEntry, Referral,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