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16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124</w:t>
            </w:r>
          </w:p>
        </w:tc>
      </w:tr>
      <w:tr>
        <w:tc>
          <w:tcPr>
            <w:tcW w:type="dxa" w:w="4759"/>
          </w:tcPr>
          <w:p>
            <w:r>
              <w:t>Database tables</w:t>
            </w:r>
          </w:p>
        </w:tc>
        <w:tc>
          <w:tcPr>
            <w:tcW w:type="dxa" w:w="4759"/>
          </w:tcPr>
          <w:p>
            <w:pPr>
              <w:jc w:val="right"/>
            </w:pPr>
            <w:r>
              <w:t>153</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64</w:t>
            </w:r>
          </w:p>
        </w:tc>
      </w:tr>
      <w:tr>
        <w:tc>
          <w:tcPr>
            <w:tcW w:type="dxa" w:w="4759"/>
          </w:tcPr>
          <w:p>
            <w:r>
              <w:t>Functional requirements</w:t>
            </w:r>
          </w:p>
        </w:tc>
        <w:tc>
          <w:tcPr>
            <w:tcW w:type="dxa" w:w="4759"/>
          </w:tcPr>
          <w:p>
            <w:pPr>
              <w:jc w:val="right"/>
            </w:pPr>
            <w:r>
              <w:t>627</w:t>
            </w:r>
          </w:p>
        </w:tc>
      </w:tr>
      <w:tr>
        <w:tc>
          <w:tcPr>
            <w:tcW w:type="dxa" w:w="4759"/>
          </w:tcPr>
          <w:p>
            <w:r>
              <w:t>Capabilities built</w:t>
            </w:r>
          </w:p>
        </w:tc>
        <w:tc>
          <w:tcPr>
            <w:tcW w:type="dxa" w:w="4759"/>
          </w:tcPr>
          <w:p>
            <w:pPr>
              <w:jc w:val="right"/>
            </w:pPr>
            <w:r>
              <w:t>244 of 246</w:t>
            </w:r>
          </w:p>
        </w:tc>
      </w:tr>
      <w:tr>
        <w:tc>
          <w:tcPr>
            <w:tcW w:type="dxa" w:w="4759"/>
          </w:tcPr>
          <w:p>
            <w:r>
              <w:t>Capabilities partial</w:t>
            </w:r>
          </w:p>
        </w:tc>
        <w:tc>
          <w:tcPr>
            <w:tcW w:type="dxa" w:w="4759"/>
          </w:tcPr>
          <w:p>
            <w:pPr>
              <w:jc w:val="right"/>
            </w:pPr>
            <w:r>
              <w:t>1</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