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17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125</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66</w:t>
            </w:r>
          </w:p>
        </w:tc>
      </w:tr>
      <w:tr>
        <w:tc>
          <w:tcPr>
            <w:tcW w:type="dxa" w:w="4759"/>
          </w:tcPr>
          <w:p>
            <w:r>
              <w:t>Functional requirements</w:t>
            </w:r>
          </w:p>
        </w:tc>
        <w:tc>
          <w:tcPr>
            <w:tcW w:type="dxa" w:w="4759"/>
          </w:tcPr>
          <w:p>
            <w:pPr>
              <w:jc w:val="right"/>
            </w:pPr>
            <w:r>
              <w:t>647</w:t>
            </w:r>
          </w:p>
        </w:tc>
      </w:tr>
      <w:tr>
        <w:tc>
          <w:tcPr>
            <w:tcW w:type="dxa" w:w="4759"/>
          </w:tcPr>
          <w:p>
            <w:r>
              <w:t>Capabilities built</w:t>
            </w:r>
          </w:p>
        </w:tc>
        <w:tc>
          <w:tcPr>
            <w:tcW w:type="dxa" w:w="4759"/>
          </w:tcPr>
          <w:p>
            <w:pPr>
              <w:jc w:val="right"/>
            </w:pPr>
            <w:r>
              <w:t>264 of 266</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