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88</w:t>
            </w:r>
          </w:p>
        </w:tc>
      </w:tr>
      <w:tr>
        <w:tc>
          <w:tcPr>
            <w:tcW w:type="dxa" w:w="4759"/>
          </w:tcPr>
          <w:p>
            <w:r>
              <w:t>Functional requirements</w:t>
            </w:r>
          </w:p>
        </w:tc>
        <w:tc>
          <w:tcPr>
            <w:tcW w:type="dxa" w:w="4759"/>
          </w:tcPr>
          <w:p>
            <w:pPr>
              <w:jc w:val="right"/>
            </w:pPr>
            <w:r>
              <w:t>791</w:t>
            </w:r>
          </w:p>
        </w:tc>
      </w:tr>
      <w:tr>
        <w:tc>
          <w:tcPr>
            <w:tcW w:type="dxa" w:w="4759"/>
          </w:tcPr>
          <w:p>
            <w:r>
              <w:t>Capabilities built</w:t>
            </w:r>
          </w:p>
        </w:tc>
        <w:tc>
          <w:tcPr>
            <w:tcW w:type="dxa" w:w="4759"/>
          </w:tcPr>
          <w:p>
            <w:pPr>
              <w:jc w:val="right"/>
            </w:pPr>
            <w:r>
              <w:t>413 of 417</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