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FRAGILE ASSUMPTION</w:t>
            </w:r>
          </w:p>
          <w:p>
            <w:r>
              <w:rPr>
                <w:rFonts w:ascii="Georgia" w:hAnsi="Georgia"/>
                <w:color w:val="101718"/>
                <w:sz w:val="19"/>
              </w:rPr>
              <w:t>That ratio is high because assumed annual churn is 12%. A workshop that has put its diary, its history and its ledger into a system does not casually leave, but this is an assumption until measured, and it is the single number most capable of making the model wrong.</w:t>
            </w:r>
          </w:p>
        </w:tc>
      </w:tr>
    </w:tbl>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680"/>
            <w:shd w:val="clear" w:fill="ECEFF0"/>
          </w:tcPr>
          <w:p>
            <w:r/>
            <w:r>
              <w:rPr>
                <w:rFonts w:ascii="Arial" w:hAnsi="Arial"/>
                <w:b/>
                <w:color w:val="0D3B3F"/>
                <w:sz w:val="15"/>
              </w:rPr>
              <w:t>#</w:t>
            </w:r>
          </w:p>
        </w:tc>
        <w:tc>
          <w:tcPr>
            <w:tcW w:type="dxa" w:w="3005"/>
            <w:shd w:val="clear" w:fill="ECEFF0"/>
          </w:tcPr>
          <w:p>
            <w:r/>
            <w:r>
              <w:rPr>
                <w:rFonts w:ascii="Arial" w:hAnsi="Arial"/>
                <w:b/>
                <w:color w:val="0D3B3F"/>
                <w:sz w:val="15"/>
              </w:rPr>
              <w:t>RISK</w:t>
            </w:r>
          </w:p>
        </w:tc>
        <w:tc>
          <w:tcPr>
            <w:tcW w:type="dxa" w:w="1134"/>
            <w:shd w:val="clear" w:fill="ECEFF0"/>
          </w:tcPr>
          <w:p>
            <w:r/>
            <w:r>
              <w:rPr>
                <w:rFonts w:ascii="Arial" w:hAnsi="Arial"/>
                <w:b/>
                <w:color w:val="0D3B3F"/>
                <w:sz w:val="15"/>
              </w:rPr>
              <w:t>IMPACT</w:t>
            </w:r>
          </w:p>
        </w:tc>
        <w:tc>
          <w:tcPr>
            <w:tcW w:type="dxa" w:w="4252"/>
            <w:shd w:val="clear" w:fill="ECEFF0"/>
          </w:tcPr>
          <w:p>
            <w:r/>
            <w:r>
              <w:rPr>
                <w:rFonts w:ascii="Arial" w:hAnsi="Arial"/>
                <w:b/>
                <w:color w:val="0D3B3F"/>
                <w:sz w:val="15"/>
              </w:rPr>
              <w:t>MITIGATION</w:t>
            </w:r>
          </w:p>
        </w:tc>
      </w:tr>
      <w:tr>
        <w:tc>
          <w:tcPr>
            <w:tcW w:type="dxa" w:w="680"/>
          </w:tcPr>
          <w:p>
            <w:r/>
            <w:r>
              <w:rPr>
                <w:rFonts w:ascii="Georgia" w:hAnsi="Georgia"/>
                <w:color w:val="101718"/>
                <w:sz w:val="18"/>
              </w:rPr>
              <w:t>R1</w:t>
            </w:r>
          </w:p>
        </w:tc>
        <w:tc>
          <w:tcPr>
            <w:tcW w:type="dxa" w:w="3005"/>
          </w:tcPr>
          <w:p>
            <w:r/>
            <w:r>
              <w:rPr>
                <w:rFonts w:ascii="Georgia" w:hAnsi="Georgia"/>
                <w:color w:val="101718"/>
                <w:sz w:val="18"/>
              </w:rPr>
              <w:t>Technicians do not adopt the shop-floor interface. Data quality collapses and the passport is worthless.</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Design partners from week 3. Usability testing on real tablets, in a real workshop, with gloves on, before Phase 1 acceptance.</w:t>
            </w:r>
          </w:p>
        </w:tc>
      </w:tr>
      <w:tr>
        <w:tc>
          <w:tcPr>
            <w:tcW w:type="dxa" w:w="680"/>
          </w:tcPr>
          <w:p>
            <w:r/>
            <w:r>
              <w:rPr>
                <w:rFonts w:ascii="Georgia" w:hAnsi="Georgia"/>
                <w:color w:val="101718"/>
                <w:sz w:val="18"/>
              </w:rPr>
              <w:t>R2</w:t>
            </w:r>
          </w:p>
        </w:tc>
        <w:tc>
          <w:tcPr>
            <w:tcW w:type="dxa" w:w="3005"/>
          </w:tcPr>
          <w:p>
            <w:r/>
            <w:r>
              <w:rPr>
                <w:rFonts w:ascii="Georgia" w:hAnsi="Georgia"/>
                <w:color w:val="101718"/>
                <w:sz w:val="18"/>
              </w:rPr>
              <w:t>Accounting correctness defects. A ledger that does not balance destroys trust irrecoverably.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Double-entry invariants enforced in the database, not only in code. No unbalanced journal can post. External accountant review before Phase 3 acceptance.</w:t>
            </w:r>
          </w:p>
        </w:tc>
      </w:tr>
      <w:tr>
        <w:tc>
          <w:tcPr>
            <w:tcW w:type="dxa" w:w="680"/>
          </w:tcPr>
          <w:p>
            <w:r/>
            <w:r>
              <w:rPr>
                <w:rFonts w:ascii="Georgia" w:hAnsi="Georgia"/>
                <w:color w:val="101718"/>
                <w:sz w:val="18"/>
              </w:rPr>
              <w:t>R3</w:t>
            </w:r>
          </w:p>
        </w:tc>
        <w:tc>
          <w:tcPr>
            <w:tcW w:type="dxa" w:w="3005"/>
          </w:tcPr>
          <w:p>
            <w:r/>
            <w:r>
              <w:rPr>
                <w:rFonts w:ascii="Georgia" w:hAnsi="Georgia"/>
                <w:color w:val="101718"/>
                <w:sz w:val="18"/>
              </w:rPr>
              <w:t>Cold start. Passports stay empty long enough that the differentiator never materialises.</w:t>
            </w:r>
          </w:p>
        </w:tc>
        <w:tc>
          <w:tcPr>
            <w:tcW w:type="dxa" w:w="1134"/>
          </w:tcPr>
          <w:p>
            <w:r/>
            <w:r>
              <w:rPr>
                <w:rFonts w:ascii="Georgia" w:hAnsi="Georgia"/>
                <w:color w:val="101718"/>
                <w:sz w:val="18"/>
              </w:rPr>
              <w:t>High</w:t>
            </w:r>
          </w:p>
        </w:tc>
        <w:tc>
          <w:tcPr>
            <w:tcW w:type="dxa" w:w="4252"/>
          </w:tcPr>
          <w:p>
            <w:r/>
            <w:r>
              <w:rPr>
                <w:rFonts w:ascii="Georgia" w:hAnsi="Georgia"/>
                <w:color w:val="101718"/>
                <w:sz w:val="18"/>
              </w:rPr>
              <w:t>Phase 1 already writes passport events. Coverage measured from day one. Revenue share designed in from the start rather than retrofitted.</w:t>
            </w:r>
          </w:p>
        </w:tc>
      </w:tr>
      <w:tr>
        <w:tc>
          <w:tcPr>
            <w:tcW w:type="dxa" w:w="680"/>
          </w:tcPr>
          <w:p>
            <w:r/>
            <w:r>
              <w:rPr>
                <w:rFonts w:ascii="Georgia" w:hAnsi="Georgia"/>
                <w:color w:val="101718"/>
                <w:sz w:val="18"/>
              </w:rPr>
              <w:t>R4</w:t>
            </w:r>
          </w:p>
        </w:tc>
        <w:tc>
          <w:tcPr>
            <w:tcW w:type="dxa" w:w="3005"/>
          </w:tcPr>
          <w:p>
            <w:r/>
            <w:r>
              <w:rPr>
                <w:rFonts w:ascii="Georgia" w:hAnsi="Georgia"/>
                <w:color w:val="101718"/>
                <w:sz w:val="18"/>
              </w:rPr>
              <w:t>Scope expansion into general ERP. The word ERP attracts unbounded requirements.</w:t>
            </w:r>
          </w:p>
        </w:tc>
        <w:tc>
          <w:tcPr>
            <w:tcW w:type="dxa" w:w="1134"/>
          </w:tcPr>
          <w:p>
            <w:r/>
            <w:r>
              <w:rPr>
                <w:rFonts w:ascii="Georgia" w:hAnsi="Georgia"/>
                <w:color w:val="101718"/>
                <w:sz w:val="18"/>
              </w:rPr>
              <w:t>High</w:t>
            </w:r>
          </w:p>
        </w:tc>
        <w:tc>
          <w:tcPr>
            <w:tcW w:type="dxa" w:w="4252"/>
          </w:tcPr>
          <w:p>
            <w:r/>
            <w:r>
              <w:rPr>
                <w:rFonts w:ascii="Georgia" w:hAnsi="Georgia"/>
                <w:color w:val="101718"/>
                <w:sz w:val="18"/>
              </w:rPr>
              <w:t>Explicit written exclusions. Anything off the roadmap requires a change request with cost and schedule impact.</w:t>
            </w:r>
          </w:p>
        </w:tc>
      </w:tr>
      <w:tr>
        <w:tc>
          <w:tcPr>
            <w:tcW w:type="dxa" w:w="680"/>
          </w:tcPr>
          <w:p>
            <w:r/>
            <w:r>
              <w:rPr>
                <w:rFonts w:ascii="Georgia" w:hAnsi="Georgia"/>
                <w:color w:val="101718"/>
                <w:sz w:val="18"/>
              </w:rPr>
              <w:t>R5</w:t>
            </w:r>
          </w:p>
        </w:tc>
        <w:tc>
          <w:tcPr>
            <w:tcW w:type="dxa" w:w="3005"/>
          </w:tcPr>
          <w:p>
            <w:r/>
            <w:r>
              <w:rPr>
                <w:rFonts w:ascii="Georgia" w:hAnsi="Georgia"/>
                <w:color w:val="101718"/>
                <w:sz w:val="18"/>
              </w:rPr>
              <w:t>Data protection exposure. We hold personal data plus a vehicle's complete history.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Tenant isolation enforced at the data-access layer rather than by convention. Documented security model. Penetration test before general availability.</w:t>
            </w:r>
          </w:p>
        </w:tc>
      </w:tr>
    </w:tbl>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ASSUMPTION</w:t>
            </w:r>
          </w:p>
        </w:tc>
        <w:tc>
          <w:tcPr>
            <w:tcW w:type="dxa" w:w="3402"/>
            <w:shd w:val="clear" w:fill="ECEFF0"/>
          </w:tcPr>
          <w:p>
            <w:r/>
            <w:r>
              <w:rPr>
                <w:rFonts w:ascii="Arial" w:hAnsi="Arial"/>
                <w:b/>
                <w:color w:val="0D3B3F"/>
                <w:sz w:val="15"/>
              </w:rPr>
              <w:t>IF FALSE</w:t>
            </w:r>
          </w:p>
        </w:tc>
        <w:tc>
          <w:tcPr>
            <w:tcW w:type="dxa" w:w="2551"/>
            <w:shd w:val="clear" w:fill="ECEFF0"/>
          </w:tcPr>
          <w:p>
            <w:r/>
            <w:r>
              <w:rPr>
                <w:rFonts w:ascii="Arial" w:hAnsi="Arial"/>
                <w:b/>
                <w:color w:val="0D3B3F"/>
                <w:sz w:val="15"/>
              </w:rPr>
              <w:t>DETECTED BY</w:t>
            </w:r>
          </w:p>
        </w:tc>
      </w:tr>
      <w:tr>
        <w:tc>
          <w:tcPr>
            <w:tcW w:type="dxa" w:w="3118"/>
          </w:tcPr>
          <w:p>
            <w:r/>
            <w:r>
              <w:rPr>
                <w:rFonts w:ascii="Georgia" w:hAnsi="Georgia"/>
                <w:color w:val="101718"/>
                <w:sz w:val="18"/>
              </w:rPr>
              <w:t>Workshops pay a premium for integrated accounting</w:t>
            </w:r>
          </w:p>
        </w:tc>
        <w:tc>
          <w:tcPr>
            <w:tcW w:type="dxa" w:w="3402"/>
          </w:tcPr>
          <w:p>
            <w:r/>
            <w:r>
              <w:rPr>
                <w:rFonts w:ascii="Georgia" w:hAnsi="Georgia"/>
                <w:color w:val="101718"/>
                <w:sz w:val="18"/>
              </w:rPr>
              <w:t>Compress to one GBP 45 tier and compete on the passport alone</w:t>
            </w:r>
          </w:p>
        </w:tc>
        <w:tc>
          <w:tcPr>
            <w:tcW w:type="dxa" w:w="2551"/>
          </w:tcPr>
          <w:p>
            <w:r/>
            <w:r>
              <w:rPr>
                <w:rFonts w:ascii="Georgia" w:hAnsi="Georgia"/>
                <w:color w:val="101718"/>
                <w:sz w:val="18"/>
              </w:rPr>
              <w:t>Design-partner pricing validation, week 20</w:t>
            </w:r>
          </w:p>
        </w:tc>
      </w:tr>
      <w:tr>
        <w:tc>
          <w:tcPr>
            <w:tcW w:type="dxa" w:w="3118"/>
          </w:tcPr>
          <w:p>
            <w:r/>
            <w:r>
              <w:rPr>
                <w:rFonts w:ascii="Georgia" w:hAnsi="Georgia"/>
                <w:color w:val="101718"/>
                <w:sz w:val="18"/>
              </w:rPr>
              <w:t>Local density achievable at reasonable acquisition cost</w:t>
            </w:r>
          </w:p>
        </w:tc>
        <w:tc>
          <w:tcPr>
            <w:tcW w:type="dxa" w:w="3402"/>
          </w:tcPr>
          <w:p>
            <w:r/>
            <w:r>
              <w:rPr>
                <w:rFonts w:ascii="Georgia" w:hAnsi="Georgia"/>
                <w:color w:val="101718"/>
                <w:sz w:val="18"/>
              </w:rPr>
              <w:t>The network effect never ignites; we are a workshop SaaS with a nice feature</w:t>
            </w:r>
          </w:p>
        </w:tc>
        <w:tc>
          <w:tcPr>
            <w:tcW w:type="dxa" w:w="2551"/>
          </w:tcPr>
          <w:p>
            <w:r/>
            <w:r>
              <w:rPr>
                <w:rFonts w:ascii="Georgia" w:hAnsi="Georgia"/>
                <w:color w:val="101718"/>
                <w:sz w:val="18"/>
              </w:rPr>
              <w:t>Density tracking, months 5 to 12</w:t>
            </w:r>
          </w:p>
        </w:tc>
      </w:tr>
      <w:tr>
        <w:tc>
          <w:tcPr>
            <w:tcW w:type="dxa" w:w="3118"/>
          </w:tcPr>
          <w:p>
            <w:r/>
            <w:r>
              <w:rPr>
                <w:rFonts w:ascii="Georgia" w:hAnsi="Georgia"/>
                <w:color w:val="101718"/>
                <w:sz w:val="18"/>
              </w:rPr>
              <w:t>Buyers pay for a report when free share links exist</w:t>
            </w:r>
          </w:p>
        </w:tc>
        <w:tc>
          <w:tcPr>
            <w:tcW w:type="dxa" w:w="3402"/>
          </w:tcPr>
          <w:p>
            <w:r/>
            <w:r>
              <w:rPr>
                <w:rFonts w:ascii="Georgia" w:hAnsi="Georgia"/>
                <w:color w:val="101718"/>
                <w:sz w:val="18"/>
              </w:rPr>
              <w:t>Passport revenue never materialises; the moat is defensive only</w:t>
            </w:r>
          </w:p>
        </w:tc>
        <w:tc>
          <w:tcPr>
            <w:tcW w:type="dxa" w:w="2551"/>
          </w:tcPr>
          <w:p>
            <w:r/>
            <w:r>
              <w:rPr>
                <w:rFonts w:ascii="Georgia" w:hAnsi="Georgia"/>
                <w:color w:val="101718"/>
                <w:sz w:val="18"/>
              </w:rPr>
              <w:t>First paid cohort, month 18</w:t>
            </w:r>
          </w:p>
        </w:tc>
      </w:tr>
      <w:tr>
        <w:tc>
          <w:tcPr>
            <w:tcW w:type="dxa" w:w="3118"/>
          </w:tcPr>
          <w:p>
            <w:r/>
            <w:r>
              <w:rPr>
                <w:rFonts w:ascii="Georgia" w:hAnsi="Georgia"/>
                <w:color w:val="101718"/>
                <w:sz w:val="18"/>
              </w:rPr>
              <w:t>Workshops are not hostile to data portability</w:t>
            </w:r>
          </w:p>
        </w:tc>
        <w:tc>
          <w:tcPr>
            <w:tcW w:type="dxa" w:w="3402"/>
          </w:tcPr>
          <w:p>
            <w:r/>
            <w:r>
              <w:rPr>
                <w:rFonts w:ascii="Georgia" w:hAnsi="Georgia"/>
                <w:color w:val="101718"/>
                <w:sz w:val="18"/>
              </w:rPr>
              <w:t>Adoption stalls on principle rather than product</w:t>
            </w:r>
          </w:p>
        </w:tc>
        <w:tc>
          <w:tcPr>
            <w:tcW w:type="dxa" w:w="2551"/>
          </w:tcPr>
          <w:p>
            <w:r/>
            <w:r>
              <w:rPr>
                <w:rFonts w:ascii="Georgia" w:hAnsi="Georgia"/>
                <w:color w:val="101718"/>
                <w:sz w:val="18"/>
              </w:rPr>
              <w:t>Design-partner interviews, week 6</w:t>
            </w:r>
          </w:p>
        </w:tc>
      </w:tr>
    </w:tbl>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701"/>
            <w:shd w:val="clear" w:fill="ECEFF0"/>
          </w:tcPr>
          <w:p>
            <w:r/>
            <w:r>
              <w:rPr>
                <w:rFonts w:ascii="Arial" w:hAnsi="Arial"/>
                <w:b/>
                <w:color w:val="0D3B3F"/>
                <w:sz w:val="15"/>
              </w:rPr>
              <w:t>PARTY</w:t>
            </w:r>
          </w:p>
        </w:tc>
        <w:tc>
          <w:tcPr>
            <w:tcW w:type="dxa" w:w="2835"/>
            <w:shd w:val="clear" w:fill="ECEFF0"/>
          </w:tcPr>
          <w:p>
            <w:r/>
            <w:r>
              <w:rPr>
                <w:rFonts w:ascii="Arial" w:hAnsi="Arial"/>
                <w:b/>
                <w:color w:val="0D3B3F"/>
                <w:sz w:val="15"/>
              </w:rPr>
              <w:t>NAME</w:t>
            </w:r>
          </w:p>
        </w:tc>
        <w:tc>
          <w:tcPr>
            <w:tcW w:type="dxa" w:w="2835"/>
            <w:shd w:val="clear" w:fill="ECEFF0"/>
          </w:tcPr>
          <w:p>
            <w:r/>
            <w:r>
              <w:rPr>
                <w:rFonts w:ascii="Arial" w:hAnsi="Arial"/>
                <w:b/>
                <w:color w:val="0D3B3F"/>
                <w:sz w:val="15"/>
              </w:rPr>
              <w:t>SIGNATURE</w:t>
            </w:r>
          </w:p>
        </w:tc>
        <w:tc>
          <w:tcPr>
            <w:tcW w:type="dxa" w:w="1701"/>
            <w:shd w:val="clear" w:fill="ECEFF0"/>
          </w:tcPr>
          <w:p>
            <w:r/>
            <w:r>
              <w:rPr>
                <w:rFonts w:ascii="Arial" w:hAnsi="Arial"/>
                <w:b/>
                <w:color w:val="0D3B3F"/>
                <w:sz w:val="15"/>
              </w:rPr>
              <w:t>DATE</w:t>
            </w:r>
          </w:p>
        </w:tc>
      </w:tr>
      <w:tr>
        <w:tc>
          <w:tcPr>
            <w:tcW w:type="dxa" w:w="1701"/>
          </w:tcPr>
          <w:p>
            <w:r/>
            <w:r>
              <w:rPr>
                <w:rFonts w:ascii="Georgia" w:hAnsi="Georgia"/>
                <w:color w:val="101718"/>
                <w:sz w:val="18"/>
              </w:rPr>
              <w:t>Client</w:t>
            </w:r>
          </w:p>
        </w:tc>
        <w:tc>
          <w:tcPr>
            <w:tcW w:type="dxa" w:w="2835"/>
          </w:tcPr>
          <w:p>
            <w:r/>
            <w:r>
              <w:rPr>
                <w:rFonts w:ascii="Georgia" w:hAnsi="Georgia"/>
                <w:color w:val="101718"/>
                <w:sz w:val="18"/>
              </w:rPr>
            </w:r>
          </w:p>
        </w:tc>
        <w:tc>
          <w:tcPr>
            <w:tcW w:type="dxa" w:w="2835"/>
          </w:tcPr>
          <w:p>
            <w:r/>
            <w:r>
              <w:rPr>
                <w:rFonts w:ascii="Georgia" w:hAnsi="Georgia"/>
                <w:color w:val="101718"/>
                <w:sz w:val="18"/>
              </w:rPr>
            </w:r>
          </w:p>
        </w:tc>
        <w:tc>
          <w:tcPr>
            <w:tcW w:type="dxa" w:w="1701"/>
          </w:tcPr>
          <w:p>
            <w:r/>
            <w:r>
              <w:rPr>
                <w:rFonts w:ascii="Georgia" w:hAnsi="Georgia"/>
                <w:color w:val="101718"/>
                <w:sz w:val="18"/>
              </w:rPr>
            </w:r>
          </w:p>
        </w:tc>
      </w:tr>
      <w:tr>
        <w:tc>
          <w:tcPr>
            <w:tcW w:type="dxa" w:w="1701"/>
          </w:tcPr>
          <w:p>
            <w:r/>
            <w:r>
              <w:rPr>
                <w:rFonts w:ascii="Georgia" w:hAnsi="Georgia"/>
                <w:color w:val="101718"/>
                <w:sz w:val="18"/>
              </w:rPr>
              <w:t>Supplier</w:t>
            </w:r>
          </w:p>
        </w:tc>
        <w:tc>
          <w:tcPr>
            <w:tcW w:type="dxa" w:w="2835"/>
          </w:tcPr>
          <w:p>
            <w:r/>
            <w:r>
              <w:rPr>
                <w:rFonts w:ascii="Georgia" w:hAnsi="Georgia"/>
                <w:color w:val="101718"/>
                <w:sz w:val="18"/>
              </w:rPr>
              <w:t>Amr Hefny</w:t>
            </w:r>
          </w:p>
        </w:tc>
        <w:tc>
          <w:tcPr>
            <w:tcW w:type="dxa" w:w="2835"/>
          </w:tcPr>
          <w:p>
            <w:r/>
            <w:r>
              <w:rPr>
                <w:rFonts w:ascii="Georgia" w:hAnsi="Georgia"/>
                <w:color w:val="101718"/>
                <w:sz w:val="18"/>
              </w:rPr>
            </w:r>
          </w:p>
        </w:tc>
        <w:tc>
          <w:tcPr>
            <w:tcW w:type="dxa" w:w="1701"/>
          </w:tcPr>
          <w:p>
            <w:r/>
            <w:r>
              <w:rPr>
                <w:rFonts w:ascii="Georgia" w:hAnsi="Georgia"/>
                <w:color w:val="101718"/>
                <w:sz w:val="18"/>
              </w:rPr>
            </w:r>
          </w:p>
        </w:tc>
      </w:tr>
    </w:tbl>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49</w:t>
            </w:r>
          </w:p>
        </w:tc>
      </w:tr>
      <w:tr>
        <w:tc>
          <w:tcPr>
            <w:tcW w:type="dxa" w:w="4759"/>
          </w:tcPr>
          <w:p>
            <w:r>
              <w:t>Database tables</w:t>
            </w:r>
          </w:p>
        </w:tc>
        <w:tc>
          <w:tcPr>
            <w:tcW w:type="dxa" w:w="4759"/>
          </w:tcPr>
          <w:p>
            <w:pPr>
              <w:jc w:val="right"/>
            </w:pPr>
            <w:r>
              <w:t>99</w:t>
            </w:r>
          </w:p>
        </w:tc>
      </w:tr>
      <w:tr>
        <w:tc>
          <w:tcPr>
            <w:tcW w:type="dxa" w:w="4759"/>
          </w:tcPr>
          <w:p>
            <w:r>
              <w:t>Domain tests</w:t>
            </w:r>
          </w:p>
        </w:tc>
        <w:tc>
          <w:tcPr>
            <w:tcW w:type="dxa" w:w="4759"/>
          </w:tcPr>
          <w:p>
            <w:pPr>
              <w:jc w:val="right"/>
            </w:pPr>
            <w:r>
              <w:t>708</w:t>
            </w:r>
          </w:p>
        </w:tc>
      </w:tr>
      <w:tr>
        <w:tc>
          <w:tcPr>
            <w:tcW w:type="dxa" w:w="4759"/>
          </w:tcPr>
          <w:p>
            <w:r>
              <w:t>Database invariant probes</w:t>
            </w:r>
          </w:p>
        </w:tc>
        <w:tc>
          <w:tcPr>
            <w:tcW w:type="dxa" w:w="4759"/>
          </w:tcPr>
          <w:p>
            <w:pPr>
              <w:jc w:val="right"/>
            </w:pPr>
            <w:r>
              <w:t>11</w:t>
            </w:r>
          </w:p>
        </w:tc>
      </w:tr>
      <w:tr>
        <w:tc>
          <w:tcPr>
            <w:tcW w:type="dxa" w:w="4759"/>
          </w:tcPr>
          <w:p>
            <w:r>
              <w:t>Functional requirements</w:t>
            </w:r>
          </w:p>
        </w:tc>
        <w:tc>
          <w:tcPr>
            <w:tcW w:type="dxa" w:w="4759"/>
          </w:tcPr>
          <w:p>
            <w:pPr>
              <w:jc w:val="right"/>
            </w:pPr>
            <w:r>
              <w:t>247</w:t>
            </w:r>
          </w:p>
        </w:tc>
      </w:tr>
      <w:tr>
        <w:tc>
          <w:tcPr>
            <w:tcW w:type="dxa" w:w="4759"/>
          </w:tcPr>
          <w:p>
            <w:r>
              <w:t>Capabilities built</w:t>
            </w:r>
          </w:p>
        </w:tc>
        <w:tc>
          <w:tcPr>
            <w:tcW w:type="dxa" w:w="4759"/>
          </w:tcPr>
          <w:p>
            <w:pPr>
              <w:jc w:val="right"/>
            </w:pPr>
            <w:r>
              <w:t>42 of 83</w:t>
            </w:r>
          </w:p>
        </w:tc>
      </w:tr>
      <w:tr>
        <w:tc>
          <w:tcPr>
            <w:tcW w:type="dxa" w:w="4759"/>
          </w:tcPr>
          <w:p>
            <w:r>
              <w:t>Capabilities partial</w:t>
            </w:r>
          </w:p>
        </w:tc>
        <w:tc>
          <w:tcPr>
            <w:tcW w:type="dxa" w:w="4759"/>
          </w:tcPr>
          <w:p>
            <w:pPr>
              <w:jc w:val="right"/>
            </w:pPr>
            <w:r>
              <w:t>10</w:t>
            </w:r>
          </w:p>
        </w:tc>
      </w:tr>
      <w:tr>
        <w:tc>
          <w:tcPr>
            <w:tcW w:type="dxa" w:w="4759"/>
          </w:tcPr>
          <w:p>
            <w:r>
              <w:t>Capabilities not yet built</w:t>
            </w:r>
          </w:p>
        </w:tc>
        <w:tc>
          <w:tcPr>
            <w:tcW w:type="dxa" w:w="4759"/>
          </w:tcPr>
          <w:p>
            <w:pPr>
              <w:jc w:val="right"/>
            </w:pPr>
            <w:r>
              <w:t>31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