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17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125</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68</w:t>
            </w:r>
          </w:p>
        </w:tc>
      </w:tr>
      <w:tr>
        <w:tc>
          <w:tcPr>
            <w:tcW w:type="dxa" w:w="4759"/>
          </w:tcPr>
          <w:p>
            <w:r>
              <w:t>Functional requirements</w:t>
            </w:r>
          </w:p>
        </w:tc>
        <w:tc>
          <w:tcPr>
            <w:tcW w:type="dxa" w:w="4759"/>
          </w:tcPr>
          <w:p>
            <w:pPr>
              <w:jc w:val="right"/>
            </w:pPr>
            <w:r>
              <w:t>662</w:t>
            </w:r>
          </w:p>
        </w:tc>
      </w:tr>
      <w:tr>
        <w:tc>
          <w:tcPr>
            <w:tcW w:type="dxa" w:w="4759"/>
          </w:tcPr>
          <w:p>
            <w:r>
              <w:t>Capabilities built</w:t>
            </w:r>
          </w:p>
        </w:tc>
        <w:tc>
          <w:tcPr>
            <w:tcW w:type="dxa" w:w="4759"/>
          </w:tcPr>
          <w:p>
            <w:pPr>
              <w:jc w:val="right"/>
            </w:pPr>
            <w:r>
              <w:t>281 of 283</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