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30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139</w:t>
            </w:r>
          </w:p>
        </w:tc>
      </w:tr>
      <w:tr>
        <w:tc>
          <w:tcPr>
            <w:tcW w:type="dxa" w:w="4759"/>
          </w:tcPr>
          <w:p>
            <w:r>
              <w:t>Database tables</w:t>
            </w:r>
          </w:p>
        </w:tc>
        <w:tc>
          <w:tcPr>
            <w:tcW w:type="dxa" w:w="4759"/>
          </w:tcPr>
          <w:p>
            <w:pPr>
              <w:jc w:val="right"/>
            </w:pPr>
            <w:r>
              <w:t>171</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104</w:t>
            </w:r>
          </w:p>
        </w:tc>
      </w:tr>
      <w:tr>
        <w:tc>
          <w:tcPr>
            <w:tcW w:type="dxa" w:w="4759"/>
          </w:tcPr>
          <w:p>
            <w:r>
              <w:t>Functional requirements</w:t>
            </w:r>
          </w:p>
        </w:tc>
        <w:tc>
          <w:tcPr>
            <w:tcW w:type="dxa" w:w="4759"/>
          </w:tcPr>
          <w:p>
            <w:pPr>
              <w:jc w:val="right"/>
            </w:pPr>
            <w:r>
              <w:t>936</w:t>
            </w:r>
          </w:p>
        </w:tc>
      </w:tr>
      <w:tr>
        <w:tc>
          <w:tcPr>
            <w:tcW w:type="dxa" w:w="4759"/>
          </w:tcPr>
          <w:p>
            <w:r>
              <w:t>Capabilities built</w:t>
            </w:r>
          </w:p>
        </w:tc>
        <w:tc>
          <w:tcPr>
            <w:tcW w:type="dxa" w:w="4759"/>
          </w:tcPr>
          <w:p>
            <w:pPr>
              <w:jc w:val="right"/>
            </w:pPr>
            <w:r>
              <w:t>510 of 512</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