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18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127</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72</w:t>
            </w:r>
          </w:p>
        </w:tc>
      </w:tr>
      <w:tr>
        <w:tc>
          <w:tcPr>
            <w:tcW w:type="dxa" w:w="4759"/>
          </w:tcPr>
          <w:p>
            <w:r>
              <w:t>Functional requirements</w:t>
            </w:r>
          </w:p>
        </w:tc>
        <w:tc>
          <w:tcPr>
            <w:tcW w:type="dxa" w:w="4759"/>
          </w:tcPr>
          <w:p>
            <w:pPr>
              <w:jc w:val="right"/>
            </w:pPr>
            <w:r>
              <w:t>692</w:t>
            </w:r>
          </w:p>
        </w:tc>
      </w:tr>
      <w:tr>
        <w:tc>
          <w:tcPr>
            <w:tcW w:type="dxa" w:w="4759"/>
          </w:tcPr>
          <w:p>
            <w:r>
              <w:t>Capabilities built</w:t>
            </w:r>
          </w:p>
        </w:tc>
        <w:tc>
          <w:tcPr>
            <w:tcW w:type="dxa" w:w="4759"/>
          </w:tcPr>
          <w:p>
            <w:pPr>
              <w:jc w:val="right"/>
            </w:pPr>
            <w:r>
              <w:t>313 of 315</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