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109</w:t>
            </w:r>
          </w:p>
        </w:tc>
      </w:tr>
      <w:tr>
        <w:tc>
          <w:tcPr>
            <w:tcW w:type="dxa" w:w="4759"/>
          </w:tcPr>
          <w:p>
            <w:r>
              <w:t>Database tables</w:t>
            </w:r>
          </w:p>
        </w:tc>
        <w:tc>
          <w:tcPr>
            <w:tcW w:type="dxa" w:w="4759"/>
          </w:tcPr>
          <w:p>
            <w:pPr>
              <w:jc w:val="right"/>
            </w:pPr>
            <w:r>
              <w:t>129</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47</w:t>
            </w:r>
          </w:p>
        </w:tc>
      </w:tr>
      <w:tr>
        <w:tc>
          <w:tcPr>
            <w:tcW w:type="dxa" w:w="4759"/>
          </w:tcPr>
          <w:p>
            <w:r>
              <w:t>Functional requirements</w:t>
            </w:r>
          </w:p>
        </w:tc>
        <w:tc>
          <w:tcPr>
            <w:tcW w:type="dxa" w:w="4759"/>
          </w:tcPr>
          <w:p>
            <w:pPr>
              <w:jc w:val="right"/>
            </w:pPr>
            <w:r>
              <w:t>520</w:t>
            </w:r>
          </w:p>
        </w:tc>
      </w:tr>
      <w:tr>
        <w:tc>
          <w:tcPr>
            <w:tcW w:type="dxa" w:w="4759"/>
          </w:tcPr>
          <w:p>
            <w:r>
              <w:t>Capabilities built</w:t>
            </w:r>
          </w:p>
        </w:tc>
        <w:tc>
          <w:tcPr>
            <w:tcW w:type="dxa" w:w="4759"/>
          </w:tcPr>
          <w:p>
            <w:pPr>
              <w:jc w:val="right"/>
            </w:pPr>
            <w:r>
              <w:t>175 of 197</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18</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