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34.</w:t>
      </w:r>
    </w:p>
    <w:p>
      <w:pPr>
        <w:spacing w:after="160"/>
      </w:pPr>
      <w:r>
        <w:rPr>
          <w:rFonts w:ascii="Public Sans" w:hAnsi="Public Sans"/>
          <w:b w:val="0"/>
          <w:i w:val="0"/>
          <w:color w:val="6B7577"/>
          <w:sz w:val="19"/>
        </w:rPr>
        <w:t>129 tables, 64 enumerations, 2001 columns; 41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8</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4</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129 tables in 12 domains, 64 enumerations, 2001 columns, defined in packages/db/prisma/schema.prisma and applied by 41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12</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882834"/>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82834"/>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3272640"/>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3272640"/>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bl>
    <w:p>
      <w:pPr>
        <w:spacing w:after="80"/>
      </w:pPr>
    </w:p>
    <w:p>
      <w:r>
        <w:br w:type="page"/>
      </w:r>
    </w:p>
    <w:p>
      <w:pPr>
        <w:jc w:val="center"/>
      </w:pPr>
      <w:r>
        <w:drawing>
          <wp:inline xmlns:a="http://schemas.openxmlformats.org/drawingml/2006/main" xmlns:pic="http://schemas.openxmlformats.org/drawingml/2006/picture">
            <wp:extent cx="9108000" cy="2077597"/>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077597"/>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bl>
    <w:p>
      <w:pPr>
        <w:spacing w:after="80"/>
      </w:pPr>
    </w:p>
    <w:p>
      <w:r>
        <w:br w:type="page"/>
      </w:r>
    </w:p>
    <w:p>
      <w:pPr>
        <w:jc w:val="center"/>
      </w:pPr>
      <w:r>
        <w:drawing>
          <wp:inline xmlns:a="http://schemas.openxmlformats.org/drawingml/2006/main" xmlns:pic="http://schemas.openxmlformats.org/drawingml/2006/picture">
            <wp:extent cx="5560744" cy="5832000"/>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560744" cy="5832000"/>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5347540" cy="58319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5347540" cy="58319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InboundMessage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982111"/>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982111"/>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600090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600090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648615"/>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648615"/>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2836732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2836732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080985"/>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080985"/>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57051323"/>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57051323"/>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