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16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122</w:t>
            </w:r>
          </w:p>
        </w:tc>
      </w:tr>
      <w:tr>
        <w:tc>
          <w:tcPr>
            <w:tcW w:type="dxa" w:w="4759"/>
          </w:tcPr>
          <w:p>
            <w:r>
              <w:t>Database tables</w:t>
            </w:r>
          </w:p>
        </w:tc>
        <w:tc>
          <w:tcPr>
            <w:tcW w:type="dxa" w:w="4759"/>
          </w:tcPr>
          <w:p>
            <w:pPr>
              <w:jc w:val="right"/>
            </w:pPr>
            <w:r>
              <w:t>152</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61</w:t>
            </w:r>
          </w:p>
        </w:tc>
      </w:tr>
      <w:tr>
        <w:tc>
          <w:tcPr>
            <w:tcW w:type="dxa" w:w="4759"/>
          </w:tcPr>
          <w:p>
            <w:r>
              <w:t>Functional requirements</w:t>
            </w:r>
          </w:p>
        </w:tc>
        <w:tc>
          <w:tcPr>
            <w:tcW w:type="dxa" w:w="4759"/>
          </w:tcPr>
          <w:p>
            <w:pPr>
              <w:jc w:val="right"/>
            </w:pPr>
            <w:r>
              <w:t>611</w:t>
            </w:r>
          </w:p>
        </w:tc>
      </w:tr>
      <w:tr>
        <w:tc>
          <w:tcPr>
            <w:tcW w:type="dxa" w:w="4759"/>
          </w:tcPr>
          <w:p>
            <w:r>
              <w:t>Capabilities built</w:t>
            </w:r>
          </w:p>
        </w:tc>
        <w:tc>
          <w:tcPr>
            <w:tcW w:type="dxa" w:w="4759"/>
          </w:tcPr>
          <w:p>
            <w:pPr>
              <w:jc w:val="right"/>
            </w:pPr>
            <w:r>
              <w:t>230 of 232</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