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90</w:t>
            </w:r>
          </w:p>
        </w:tc>
      </w:tr>
      <w:tr>
        <w:tc>
          <w:tcPr>
            <w:tcW w:type="dxa" w:w="4759"/>
          </w:tcPr>
          <w:p>
            <w:r>
              <w:t>Functional requirements</w:t>
            </w:r>
          </w:p>
        </w:tc>
        <w:tc>
          <w:tcPr>
            <w:tcW w:type="dxa" w:w="4759"/>
          </w:tcPr>
          <w:p>
            <w:pPr>
              <w:jc w:val="right"/>
            </w:pPr>
            <w:r>
              <w:t>803</w:t>
            </w:r>
          </w:p>
        </w:tc>
      </w:tr>
      <w:tr>
        <w:tc>
          <w:tcPr>
            <w:tcW w:type="dxa" w:w="4759"/>
          </w:tcPr>
          <w:p>
            <w:r>
              <w:t>Capabilities built</w:t>
            </w:r>
          </w:p>
        </w:tc>
        <w:tc>
          <w:tcPr>
            <w:tcW w:type="dxa" w:w="4759"/>
          </w:tcPr>
          <w:p>
            <w:pPr>
              <w:jc w:val="right"/>
            </w:pPr>
            <w:r>
              <w:t>419 of 423</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