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23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129</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84</w:t>
            </w:r>
          </w:p>
        </w:tc>
      </w:tr>
      <w:tr>
        <w:tc>
          <w:tcPr>
            <w:tcW w:type="dxa" w:w="4759"/>
          </w:tcPr>
          <w:p>
            <w:r>
              <w:t>Functional requirements</w:t>
            </w:r>
          </w:p>
        </w:tc>
        <w:tc>
          <w:tcPr>
            <w:tcW w:type="dxa" w:w="4759"/>
          </w:tcPr>
          <w:p>
            <w:pPr>
              <w:jc w:val="right"/>
            </w:pPr>
            <w:r>
              <w:t>765</w:t>
            </w:r>
          </w:p>
        </w:tc>
      </w:tr>
      <w:tr>
        <w:tc>
          <w:tcPr>
            <w:tcW w:type="dxa" w:w="4759"/>
          </w:tcPr>
          <w:p>
            <w:r>
              <w:t>Capabilities built</w:t>
            </w:r>
          </w:p>
        </w:tc>
        <w:tc>
          <w:tcPr>
            <w:tcW w:type="dxa" w:w="4759"/>
          </w:tcPr>
          <w:p>
            <w:pPr>
              <w:jc w:val="right"/>
            </w:pPr>
            <w:r>
              <w:t>385 of 387</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