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124</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65</w:t>
            </w:r>
          </w:p>
        </w:tc>
      </w:tr>
      <w:tr>
        <w:tc>
          <w:tcPr>
            <w:tcW w:type="dxa" w:w="4759"/>
          </w:tcPr>
          <w:p>
            <w:r>
              <w:t>Functional requirements</w:t>
            </w:r>
          </w:p>
        </w:tc>
        <w:tc>
          <w:tcPr>
            <w:tcW w:type="dxa" w:w="4759"/>
          </w:tcPr>
          <w:p>
            <w:pPr>
              <w:jc w:val="right"/>
            </w:pPr>
            <w:r>
              <w:t>639</w:t>
            </w:r>
          </w:p>
        </w:tc>
      </w:tr>
      <w:tr>
        <w:tc>
          <w:tcPr>
            <w:tcW w:type="dxa" w:w="4759"/>
          </w:tcPr>
          <w:p>
            <w:r>
              <w:t>Capabilities built</w:t>
            </w:r>
          </w:p>
        </w:tc>
        <w:tc>
          <w:tcPr>
            <w:tcW w:type="dxa" w:w="4759"/>
          </w:tcPr>
          <w:p>
            <w:pPr>
              <w:jc w:val="right"/>
            </w:pPr>
            <w:r>
              <w:t>256 of 258</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