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15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115</w:t>
            </w:r>
          </w:p>
        </w:tc>
      </w:tr>
      <w:tr>
        <w:tc>
          <w:tcPr>
            <w:tcW w:type="dxa" w:w="4759"/>
          </w:tcPr>
          <w:p>
            <w:r>
              <w:t>Database tables</w:t>
            </w:r>
          </w:p>
        </w:tc>
        <w:tc>
          <w:tcPr>
            <w:tcW w:type="dxa" w:w="4759"/>
          </w:tcPr>
          <w:p>
            <w:pPr>
              <w:jc w:val="right"/>
            </w:pPr>
            <w:r>
              <w:t>143</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54</w:t>
            </w:r>
          </w:p>
        </w:tc>
      </w:tr>
      <w:tr>
        <w:tc>
          <w:tcPr>
            <w:tcW w:type="dxa" w:w="4759"/>
          </w:tcPr>
          <w:p>
            <w:r>
              <w:t>Functional requirements</w:t>
            </w:r>
          </w:p>
        </w:tc>
        <w:tc>
          <w:tcPr>
            <w:tcW w:type="dxa" w:w="4759"/>
          </w:tcPr>
          <w:p>
            <w:pPr>
              <w:jc w:val="right"/>
            </w:pPr>
            <w:r>
              <w:t>567</w:t>
            </w:r>
          </w:p>
        </w:tc>
      </w:tr>
      <w:tr>
        <w:tc>
          <w:tcPr>
            <w:tcW w:type="dxa" w:w="4759"/>
          </w:tcPr>
          <w:p>
            <w:r>
              <w:t>Capabilities built</w:t>
            </w:r>
          </w:p>
        </w:tc>
        <w:tc>
          <w:tcPr>
            <w:tcW w:type="dxa" w:w="4759"/>
          </w:tcPr>
          <w:p>
            <w:pPr>
              <w:jc w:val="right"/>
            </w:pPr>
            <w:r>
              <w:t>202 of 212</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7</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