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35.</w:t>
      </w:r>
    </w:p>
    <w:p>
      <w:pPr>
        <w:spacing w:after="160"/>
      </w:pPr>
      <w:r>
        <w:rPr>
          <w:rFonts w:ascii="Public Sans" w:hAnsi="Public Sans"/>
          <w:b w:val="0"/>
          <w:i w:val="0"/>
          <w:color w:val="6B7577"/>
          <w:sz w:val="19"/>
        </w:rPr>
        <w:t>132 tables, 67 enumerations, 2063 columns; 42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132 tables in 12 domains, 67 enumerations, 2063 columns, defined in packages/db/prisma/schema.prisma and applied by 42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12</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3272640"/>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3272640"/>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bl>
    <w:p>
      <w:pPr>
        <w:spacing w:after="80"/>
      </w:pPr>
    </w:p>
    <w:p>
      <w:r>
        <w:br w:type="page"/>
      </w:r>
    </w:p>
    <w:p>
      <w:pPr>
        <w:jc w:val="center"/>
      </w:pPr>
      <w:r>
        <w:drawing>
          <wp:inline xmlns:a="http://schemas.openxmlformats.org/drawingml/2006/main" xmlns:pic="http://schemas.openxmlformats.org/drawingml/2006/picture">
            <wp:extent cx="9108000" cy="3162879"/>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3162879"/>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InboundMessage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982111"/>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982111"/>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637440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637440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648615"/>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648615"/>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319218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319218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080985"/>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080985"/>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77768123"/>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77768123"/>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