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14 September 2026, after Phase 32.</w:t>
      </w:r>
    </w:p>
    <w:p>
      <w:pPr>
        <w:spacing w:after="160"/>
      </w:pPr>
      <w:r>
        <w:rPr>
          <w:rFonts w:ascii="Public Sans" w:hAnsi="Public Sans"/>
          <w:b w:val="0"/>
          <w:i w:val="0"/>
          <w:color w:val="6B7577"/>
          <w:sz w:val="19"/>
        </w:rPr>
        <w:t>128 tables, 63 enumerations, 1967 columns; 37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w:t>
      </w:r>
    </w:p>
    <w:p>
      <w:pPr>
        <w:pStyle w:val="Heading2"/>
      </w:pPr>
      <w:r>
        <w:t>6.10 The subscription and the plan</w:t>
      </w:r>
    </w:p>
    <w:p>
      <w:pPr>
        <w:jc w:val="center"/>
      </w:pPr>
      <w:r>
        <w:drawing>
          <wp:inline xmlns:a="http://schemas.openxmlformats.org/drawingml/2006/main" xmlns:pic="http://schemas.openxmlformats.org/drawingml/2006/picture">
            <wp:extent cx="2588235" cy="3960000"/>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2588235" cy="3960000"/>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sets trialEndsAt. The state is read from the dates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128 tables in 12 domains, 63 enumerations, 1967 columns, defined in packages/db/prisma/schema.prisma and applied by 37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23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12</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4387478"/>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4387478"/>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bl>
    <w:p>
      <w:pPr>
        <w:spacing w:after="80"/>
      </w:pPr>
    </w:p>
    <w:p>
      <w:r>
        <w:br w:type="page"/>
      </w:r>
    </w:p>
    <w:p>
      <w:pPr>
        <w:jc w:val="center"/>
      </w:pPr>
      <w:r>
        <w:drawing>
          <wp:inline xmlns:a="http://schemas.openxmlformats.org/drawingml/2006/main" xmlns:pic="http://schemas.openxmlformats.org/drawingml/2006/picture">
            <wp:extent cx="9108000" cy="2991571"/>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991571"/>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3272640"/>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3272640"/>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bl>
    <w:p>
      <w:pPr>
        <w:spacing w:after="80"/>
      </w:pPr>
    </w:p>
    <w:p>
      <w:r>
        <w:br w:type="page"/>
      </w:r>
    </w:p>
    <w:p>
      <w:pPr>
        <w:jc w:val="center"/>
      </w:pPr>
      <w:r>
        <w:drawing>
          <wp:inline xmlns:a="http://schemas.openxmlformats.org/drawingml/2006/main" xmlns:pic="http://schemas.openxmlformats.org/drawingml/2006/picture">
            <wp:extent cx="9108000" cy="2077597"/>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077597"/>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15</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bl>
    <w:p>
      <w:pPr>
        <w:spacing w:after="80"/>
      </w:pPr>
    </w:p>
    <w:p>
      <w:r>
        <w:br w:type="page"/>
      </w:r>
    </w:p>
    <w:p>
      <w:pPr>
        <w:jc w:val="center"/>
      </w:pPr>
      <w:r>
        <w:drawing>
          <wp:inline xmlns:a="http://schemas.openxmlformats.org/drawingml/2006/main" xmlns:pic="http://schemas.openxmlformats.org/drawingml/2006/picture">
            <wp:extent cx="4829532"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4829532"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8025827" cy="5832000"/>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8025827" cy="5832000"/>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04930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04930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14</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774082"/>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774082"/>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5347540" cy="5831999"/>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5347540" cy="5831999"/>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2623431"/>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2623431"/>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InboundMessage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982111"/>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982111"/>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4721662"/>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4721662"/>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3735000"/>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5309925"/>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5309925"/>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566892"/>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566892"/>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7329938"/>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7329938"/>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1547375"/>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154737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20035162"/>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20035162"/>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4955100"/>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4955100"/>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jc w:val="center"/>
      </w:pPr>
      <w:r>
        <w:drawing>
          <wp:inline xmlns:a="http://schemas.openxmlformats.org/drawingml/2006/main" xmlns:pic="http://schemas.openxmlformats.org/drawingml/2006/picture">
            <wp:extent cx="5976000" cy="3735000"/>
            <wp:docPr id="50" name="Picture 50"/>
            <wp:cNvGraphicFramePr>
              <a:graphicFrameLocks noChangeAspect="1"/>
            </wp:cNvGraphicFramePr>
            <a:graphic>
              <a:graphicData uri="http://schemas.openxmlformats.org/drawingml/2006/picture">
                <pic:pic>
                  <pic:nvPicPr>
                    <pic:cNvPr id="0" name="subscription.png"/>
                    <pic:cNvPicPr/>
                  </pic:nvPicPr>
                  <pic:blipFill>
                    <a:blip r:embed="rId58"/>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subscription page: where the workshop stands and what its plan allows.</w:t>
      </w:r>
    </w:p>
    <w:p>
      <w:pPr>
        <w:pStyle w:val="Heading3"/>
      </w:pPr>
      <w:r>
        <w:t>Customer</w:t>
      </w:r>
    </w:p>
    <w:p>
      <w:pPr>
        <w:jc w:val="center"/>
      </w:pPr>
      <w:r>
        <w:drawing>
          <wp:inline xmlns:a="http://schemas.openxmlformats.org/drawingml/2006/main" xmlns:pic="http://schemas.openxmlformats.org/drawingml/2006/picture">
            <wp:extent cx="5976000" cy="21595323"/>
            <wp:docPr id="51" name="Picture 51"/>
            <wp:cNvGraphicFramePr>
              <a:graphicFrameLocks noChangeAspect="1"/>
            </wp:cNvGraphicFramePr>
            <a:graphic>
              <a:graphicData uri="http://schemas.openxmlformats.org/drawingml/2006/picture">
                <pic:pic>
                  <pic:nvPicPr>
                    <pic:cNvPr id="0" name="portal.png"/>
                    <pic:cNvPicPr/>
                  </pic:nvPicPr>
                  <pic:blipFill>
                    <a:blip r:embed="rId59"/>
                    <a:stretch>
                      <a:fillRect/>
                    </a:stretch>
                  </pic:blipFill>
                  <pic:spPr>
                    <a:xfrm>
                      <a:off x="0" y="0"/>
                      <a:ext cx="5976000" cy="21595323"/>
                    </a:xfrm>
                    <a:prstGeom prst="rect"/>
                  </pic:spPr>
                </pic:pic>
              </a:graphicData>
            </a:graphic>
          </wp:inline>
        </w:drawing>
      </w:r>
    </w:p>
    <w:p>
      <w:pPr>
        <w:spacing w:after="240"/>
        <w:jc w:val="center"/>
      </w:pPr>
      <w:r>
        <w:rPr>
          <w:rFonts w:ascii="Public Sans" w:hAnsi="Public Sans"/>
          <w:b w:val="0"/>
          <w:i/>
          <w:color w:val="6B7577"/>
          <w:sz w:val="18"/>
        </w:rPr>
        <w:t>The customer's portal.</w:t>
      </w:r>
    </w:p>
    <w:p>
      <w:pPr>
        <w:jc w:val="center"/>
      </w:pPr>
      <w:r>
        <w:drawing>
          <wp:inline xmlns:a="http://schemas.openxmlformats.org/drawingml/2006/main" xmlns:pic="http://schemas.openxmlformats.org/drawingml/2006/picture">
            <wp:extent cx="5976000" cy="12932676"/>
            <wp:docPr id="52" name="Picture 52"/>
            <wp:cNvGraphicFramePr>
              <a:graphicFrameLocks noChangeAspect="1"/>
            </wp:cNvGraphicFramePr>
            <a:graphic>
              <a:graphicData uri="http://schemas.openxmlformats.org/drawingml/2006/picture">
                <pic:pic>
                  <pic:nvPicPr>
                    <pic:cNvPr id="0" name="portal-invoices.png"/>
                    <pic:cNvPicPr/>
                  </pic:nvPicPr>
                  <pic:blipFill>
                    <a:blip r:embed="rId60"/>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92030400"/>
            <wp:docPr id="53" name="Picture 53"/>
            <wp:cNvGraphicFramePr>
              <a:graphicFrameLocks noChangeAspect="1"/>
            </wp:cNvGraphicFramePr>
            <a:graphic>
              <a:graphicData uri="http://schemas.openxmlformats.org/drawingml/2006/picture">
                <pic:pic>
                  <pic:nvPicPr>
                    <pic:cNvPr id="0" name="portal-passport.png"/>
                    <pic:cNvPicPr/>
                  </pic:nvPicPr>
                  <pic:blipFill>
                    <a:blip r:embed="rId61"/>
                    <a:stretch>
                      <a:fillRect/>
                    </a:stretch>
                  </pic:blipFill>
                  <pic:spPr>
                    <a:xfrm>
                      <a:off x="0" y="0"/>
                      <a:ext cx="5976000" cy="92030400"/>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54" name="Picture 54"/>
            <wp:cNvGraphicFramePr>
              <a:graphicFrameLocks noChangeAspect="1"/>
            </wp:cNvGraphicFramePr>
            <a:graphic>
              <a:graphicData uri="http://schemas.openxmlformats.org/drawingml/2006/picture">
                <pic:pic>
                  <pic:nvPicPr>
                    <pic:cNvPr id="0" name="portal-passports.png"/>
                    <pic:cNvPicPr/>
                  </pic:nvPicPr>
                  <pic:blipFill>
                    <a:blip r:embed="rId62"/>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not-found.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56" name="Picture 56"/>
            <wp:cNvGraphicFramePr>
              <a:graphicFrameLocks noChangeAspect="1"/>
            </wp:cNvGraphicFramePr>
            <a:graphic>
              <a:graphicData uri="http://schemas.openxmlformats.org/drawingml/2006/picture">
                <pic:pic>
                  <pic:nvPicPr>
                    <pic:cNvPr id="0" name="mark.png"/>
                    <pic:cNvPicPr/>
                  </pic:nvPicPr>
                  <pic:blipFill>
                    <a:blip r:embed="rId64"/>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SyncedAction</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VehicleEvent, VehicleEventAttachment, VehicleOwnership, OdometerReading, VehicleAccessGrant, PassportShare, PassportShareAccess, Recall, VehicleRecall, VehicleDocument, VehicleClaim, PartFitment</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SuppressedAddress, DeliveryEvent, ReviewRequest, LoyaltyEntry, Referral,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