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135</w:t>
            </w:r>
          </w:p>
        </w:tc>
      </w:tr>
      <w:tr>
        <w:tc>
          <w:tcPr>
            <w:tcW w:type="dxa" w:w="4759"/>
          </w:tcPr>
          <w:p>
            <w:r>
              <w:t>Database tables</w:t>
            </w:r>
          </w:p>
        </w:tc>
        <w:tc>
          <w:tcPr>
            <w:tcW w:type="dxa" w:w="4759"/>
          </w:tcPr>
          <w:p>
            <w:pPr>
              <w:jc w:val="right"/>
            </w:pPr>
            <w:r>
              <w:t>169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101</w:t>
            </w:r>
          </w:p>
        </w:tc>
      </w:tr>
      <w:tr>
        <w:tc>
          <w:tcPr>
            <w:tcW w:type="dxa" w:w="4759"/>
          </w:tcPr>
          <w:p>
            <w:r>
              <w:t>Functional requirements</w:t>
            </w:r>
          </w:p>
        </w:tc>
        <w:tc>
          <w:tcPr>
            <w:tcW w:type="dxa" w:w="4759"/>
          </w:tcPr>
          <w:p>
            <w:pPr>
              <w:jc w:val="right"/>
            </w:pPr>
            <w:r>
              <w:t>907</w:t>
            </w:r>
          </w:p>
        </w:tc>
      </w:tr>
      <w:tr>
        <w:tc>
          <w:tcPr>
            <w:tcW w:type="dxa" w:w="4759"/>
          </w:tcPr>
          <w:p>
            <w:r>
              <w:t>Capabilities built</w:t>
            </w:r>
          </w:p>
        </w:tc>
        <w:tc>
          <w:tcPr>
            <w:tcW w:type="dxa" w:w="4759"/>
          </w:tcPr>
          <w:p>
            <w:pPr>
              <w:jc w:val="right"/>
            </w:pPr>
            <w:r>
              <w:t>485 of 487</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