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131</w:t>
            </w:r>
          </w:p>
        </w:tc>
      </w:tr>
      <w:tr>
        <w:tc>
          <w:tcPr>
            <w:tcW w:type="dxa" w:w="4759"/>
          </w:tcPr>
          <w:p>
            <w:r>
              <w:t>Database tables</w:t>
            </w:r>
          </w:p>
        </w:tc>
        <w:tc>
          <w:tcPr>
            <w:tcW w:type="dxa" w:w="4759"/>
          </w:tcPr>
          <w:p>
            <w:pPr>
              <w:jc w:val="right"/>
            </w:pPr>
            <w:r>
              <w:t>164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96</w:t>
            </w:r>
          </w:p>
        </w:tc>
      </w:tr>
      <w:tr>
        <w:tc>
          <w:tcPr>
            <w:tcW w:type="dxa" w:w="4759"/>
          </w:tcPr>
          <w:p>
            <w:r>
              <w:t>Functional requirements</w:t>
            </w:r>
          </w:p>
        </w:tc>
        <w:tc>
          <w:tcPr>
            <w:tcW w:type="dxa" w:w="4759"/>
          </w:tcPr>
          <w:p>
            <w:pPr>
              <w:jc w:val="right"/>
            </w:pPr>
            <w:r>
              <w:t>858</w:t>
            </w:r>
          </w:p>
        </w:tc>
      </w:tr>
      <w:tr>
        <w:tc>
          <w:tcPr>
            <w:tcW w:type="dxa" w:w="4759"/>
          </w:tcPr>
          <w:p>
            <w:r>
              <w:t>Capabilities built</w:t>
            </w:r>
          </w:p>
        </w:tc>
        <w:tc>
          <w:tcPr>
            <w:tcW w:type="dxa" w:w="4759"/>
          </w:tcPr>
          <w:p>
            <w:pPr>
              <w:jc w:val="right"/>
            </w:pPr>
            <w:r>
              <w:t>447 of 449</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