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19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128</w:t>
            </w:r>
          </w:p>
        </w:tc>
      </w:tr>
      <w:tr>
        <w:tc>
          <w:tcPr>
            <w:tcW w:type="dxa" w:w="4759"/>
          </w:tcPr>
          <w:p>
            <w:r>
              <w:t>Database tables</w:t>
            </w:r>
          </w:p>
        </w:tc>
        <w:tc>
          <w:tcPr>
            <w:tcW w:type="dxa" w:w="4759"/>
          </w:tcPr>
          <w:p>
            <w:pPr>
              <w:jc w:val="right"/>
            </w:pPr>
            <w:r>
              <w:t>154</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80</w:t>
            </w:r>
          </w:p>
        </w:tc>
      </w:tr>
      <w:tr>
        <w:tc>
          <w:tcPr>
            <w:tcW w:type="dxa" w:w="4759"/>
          </w:tcPr>
          <w:p>
            <w:r>
              <w:t>Functional requirements</w:t>
            </w:r>
          </w:p>
        </w:tc>
        <w:tc>
          <w:tcPr>
            <w:tcW w:type="dxa" w:w="4759"/>
          </w:tcPr>
          <w:p>
            <w:pPr>
              <w:jc w:val="right"/>
            </w:pPr>
            <w:r>
              <w:t>739</w:t>
            </w:r>
          </w:p>
        </w:tc>
      </w:tr>
      <w:tr>
        <w:tc>
          <w:tcPr>
            <w:tcW w:type="dxa" w:w="4759"/>
          </w:tcPr>
          <w:p>
            <w:r>
              <w:t>Capabilities built</w:t>
            </w:r>
          </w:p>
        </w:tc>
        <w:tc>
          <w:tcPr>
            <w:tcW w:type="dxa" w:w="4759"/>
          </w:tcPr>
          <w:p>
            <w:pPr>
              <w:jc w:val="right"/>
            </w:pPr>
            <w:r>
              <w:t>360 of 362</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