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29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132</w:t>
            </w:r>
          </w:p>
        </w:tc>
      </w:tr>
      <w:tr>
        <w:tc>
          <w:tcPr>
            <w:tcW w:type="dxa" w:w="4759"/>
          </w:tcPr>
          <w:p>
            <w:r>
              <w:t>Database tables</w:t>
            </w:r>
          </w:p>
        </w:tc>
        <w:tc>
          <w:tcPr>
            <w:tcW w:type="dxa" w:w="4759"/>
          </w:tcPr>
          <w:p>
            <w:pPr>
              <w:jc w:val="right"/>
            </w:pPr>
            <w:r>
              <w:t>165</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97</w:t>
            </w:r>
          </w:p>
        </w:tc>
      </w:tr>
      <w:tr>
        <w:tc>
          <w:tcPr>
            <w:tcW w:type="dxa" w:w="4759"/>
          </w:tcPr>
          <w:p>
            <w:r>
              <w:t>Functional requirements</w:t>
            </w:r>
          </w:p>
        </w:tc>
        <w:tc>
          <w:tcPr>
            <w:tcW w:type="dxa" w:w="4759"/>
          </w:tcPr>
          <w:p>
            <w:pPr>
              <w:jc w:val="right"/>
            </w:pPr>
            <w:r>
              <w:t>868</w:t>
            </w:r>
          </w:p>
        </w:tc>
      </w:tr>
      <w:tr>
        <w:tc>
          <w:tcPr>
            <w:tcW w:type="dxa" w:w="4759"/>
          </w:tcPr>
          <w:p>
            <w:r>
              <w:t>Capabilities built</w:t>
            </w:r>
          </w:p>
        </w:tc>
        <w:tc>
          <w:tcPr>
            <w:tcW w:type="dxa" w:w="4759"/>
          </w:tcPr>
          <w:p>
            <w:pPr>
              <w:jc w:val="right"/>
            </w:pPr>
            <w:r>
              <w:t>455 of 457</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