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165 tables, 78 enumerations, 2655 columns; 78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165 tables in 12 domains, 78 enumerations, 2655 columns, defined in packages/db/prisma/schema.prisma and applied by 78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VehicleSpecification</w:t>
            </w:r>
          </w:p>
        </w:tc>
        <w:tc>
          <w:tcPr>
            <w:tcW w:type="dxa" w:w="1134"/>
          </w:tcPr>
          <w:p>
            <w:r/>
            <w:r>
              <w:rPr>
                <w:rFonts w:ascii="Public Sans" w:hAnsi="Public Sans"/>
                <w:sz w:val="16"/>
              </w:rPr>
              <w:t>28</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121429"/>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121429"/>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17</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 User</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60196"/>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60196"/>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diagnosis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SymptomCode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CauseCode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SymptomCode</w:t>
            </w:r>
          </w:p>
        </w:tc>
      </w:tr>
      <w:tr>
        <w:tc>
          <w:tcPr>
            <w:tcW w:type="dxa" w:w="2835"/>
          </w:tcPr>
          <w:p>
            <w:r/>
            <w:r>
              <w:rPr>
                <w:rFonts w:ascii="IBM Plex Mono" w:hAnsi="IBM Plex Mono"/>
                <w:sz w:val="16"/>
              </w:rPr>
              <w:t>JobDiagnosis</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SymptomCode</w:t>
            </w:r>
          </w:p>
        </w:tc>
      </w:tr>
      <w:tr>
        <w:tc>
          <w:tcPr>
            <w:tcW w:type="dxa" w:w="2835"/>
          </w:tcPr>
          <w:p>
            <w:r/>
            <w:r>
              <w:rPr>
                <w:rFonts w:ascii="IBM Plex Mono" w:hAnsi="IBM Plex Mono"/>
                <w:sz w:val="16"/>
              </w:rPr>
              <w:t>DiagnosisCause</w:t>
            </w:r>
          </w:p>
        </w:tc>
        <w:tc>
          <w:tcPr>
            <w:tcW w:type="dxa" w:w="1134"/>
          </w:tcPr>
          <w:p>
            <w:r/>
            <w:r>
              <w:rPr>
                <w:rFonts w:ascii="Public Sans" w:hAnsi="Public Sans"/>
                <w:sz w:val="16"/>
              </w:rPr>
              <w:t>8</w:t>
            </w:r>
          </w:p>
        </w:tc>
        <w:tc>
          <w:tcPr>
            <w:tcW w:type="dxa" w:w="2268"/>
          </w:tcPr>
          <w:p>
            <w:r/>
            <w:r>
              <w:rPr>
                <w:rFonts w:ascii="Public Sans" w:hAnsi="Public Sans"/>
                <w:sz w:val="16"/>
              </w:rPr>
              <w:t>through JobDiagnosis</w:t>
            </w:r>
          </w:p>
        </w:tc>
        <w:tc>
          <w:tcPr>
            <w:tcW w:type="dxa" w:w="7937"/>
          </w:tcPr>
          <w:p>
            <w:r/>
            <w:r>
              <w:rPr>
                <w:rFonts w:ascii="Public Sans" w:hAnsi="Public Sans"/>
                <w:sz w:val="16"/>
              </w:rPr>
              <w:t>JobDiagnosis, CauseCode, User</w:t>
            </w:r>
          </w:p>
        </w:tc>
      </w:tr>
      <w:tr>
        <w:tc>
          <w:tcPr>
            <w:tcW w:type="dxa" w:w="2835"/>
          </w:tcPr>
          <w:p>
            <w:r/>
            <w:r>
              <w:rPr>
                <w:rFonts w:ascii="IBM Plex Mono" w:hAnsi="IBM Plex Mono"/>
                <w:sz w:val="16"/>
              </w:rPr>
              <w:t>QualityCheckItem</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QualityCheckAnswer</w:t>
            </w:r>
          </w:p>
        </w:tc>
        <w:tc>
          <w:tcPr>
            <w:tcW w:type="dxa" w:w="1134"/>
          </w:tcPr>
          <w:p>
            <w:r/>
            <w:r>
              <w:rPr>
                <w:rFonts w:ascii="Public Sans" w:hAnsi="Public Sans"/>
                <w:sz w:val="16"/>
              </w:rPr>
              <w:t>5</w:t>
            </w:r>
          </w:p>
        </w:tc>
        <w:tc>
          <w:tcPr>
            <w:tcW w:type="dxa" w:w="2268"/>
          </w:tcPr>
          <w:p>
            <w:r/>
            <w:r>
              <w:rPr>
                <w:rFonts w:ascii="Public Sans" w:hAnsi="Public Sans"/>
                <w:sz w:val="16"/>
              </w:rPr>
              <w:t>through QualityCheckItem</w:t>
            </w:r>
          </w:p>
        </w:tc>
        <w:tc>
          <w:tcPr>
            <w:tcW w:type="dxa" w:w="7937"/>
          </w:tcPr>
          <w:p>
            <w:r/>
            <w:r>
              <w:rPr>
                <w:rFonts w:ascii="Public Sans" w:hAnsi="Public Sans"/>
                <w:sz w:val="16"/>
              </w:rPr>
              <w:t>QualityCheck, QualityCheckItem</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9108000" cy="5683201"/>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9108000" cy="5683201"/>
                    </a:xfrm>
                    <a:prstGeom prst="rect"/>
                  </pic:spPr>
                </pic:pic>
              </a:graphicData>
            </a:graphic>
          </wp:inline>
        </w:drawing>
      </w:r>
    </w:p>
    <w:p>
      <w:pPr>
        <w:spacing w:after="240"/>
        <w:jc w:val="center"/>
      </w:pPr>
      <w:r>
        <w:rPr>
          <w:rFonts w:ascii="Public Sans" w:hAnsi="Public Sans"/>
          <w:b w:val="0"/>
          <w:i/>
          <w:color w:val="6B7577"/>
          <w:sz w:val="18"/>
        </w:rPr>
        <w:t>Entity-relationship diagram: inspections, diagnosis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SupplierPart</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Product, User</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9108000" cy="56777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9108000" cy="56777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8992012"/>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8992012"/>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9440675"/>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9440675"/>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4479350"/>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4479350"/>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75602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75602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verify-comeback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verify-knowledge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verify-navigation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verify-signoff</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verify-sourcing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verify-specification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verify-standing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VehicleSpecification,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DIAGNOSIS AND ESTIMATES</w:t>
      </w:r>
    </w:p>
    <w:p>
      <w:pPr>
        <w:spacing w:after="160"/>
      </w:pPr>
      <w:r>
        <w:rPr>
          <w:rFonts w:ascii="IBM Plex Mono" w:hAnsi="IBM Plex Mono"/>
          <w:b w:val="0"/>
          <w:i w:val="0"/>
          <w:color w:val="1A2022"/>
          <w:sz w:val="18"/>
        </w:rPr>
        <w:t>SymptomCode, CauseCode, JobDiagnosis, DiagnosisCause, QualityCheckItem, QualityCheckAnswer, 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SupplierPart,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r>
        <w:tc>
          <w:tcPr>
            <w:tcW w:type="dxa" w:w="5669"/>
          </w:tcPr>
          <w:p>
            <w:r/>
            <w:r>
              <w:rPr>
                <w:rFonts w:ascii="IBM Plex Mono" w:hAnsi="IBM Plex Mono"/>
                <w:sz w:val="16"/>
              </w:rPr>
              <w:t>the_corpus_not_the_guess</w:t>
            </w:r>
          </w:p>
        </w:tc>
        <w:tc>
          <w:tcPr>
            <w:tcW w:type="dxa" w:w="3742"/>
          </w:tcPr>
          <w:p>
            <w:r/>
            <w:r>
              <w:rPr>
                <w:rFonts w:ascii="Public Sans" w:hAnsi="Public Sans"/>
                <w:sz w:val="16"/>
              </w:rPr>
              <w:t>2026-09-27</w:t>
            </w:r>
          </w:p>
        </w:tc>
      </w:tr>
      <w:tr>
        <w:tc>
          <w:tcPr>
            <w:tcW w:type="dxa" w:w="5669"/>
          </w:tcPr>
          <w:p>
            <w:r/>
            <w:r>
              <w:rPr>
                <w:rFonts w:ascii="IBM Plex Mono" w:hAnsi="IBM Plex Mono"/>
                <w:sz w:val="16"/>
              </w:rPr>
              <w:t>the_gate_gets_a_key</w:t>
            </w:r>
          </w:p>
        </w:tc>
        <w:tc>
          <w:tcPr>
            <w:tcW w:type="dxa" w:w="3742"/>
          </w:tcPr>
          <w:p>
            <w:r/>
            <w:r>
              <w:rPr>
                <w:rFonts w:ascii="Public Sans" w:hAnsi="Public Sans"/>
                <w:sz w:val="16"/>
              </w:rPr>
              <w:t>2026-09-28</w:t>
            </w:r>
          </w:p>
        </w:tc>
      </w:tr>
      <w:tr>
        <w:tc>
          <w:tcPr>
            <w:tcW w:type="dxa" w:w="5669"/>
          </w:tcPr>
          <w:p>
            <w:r/>
            <w:r>
              <w:rPr>
                <w:rFonts w:ascii="IBM Plex Mono" w:hAnsi="IBM Plex Mono"/>
                <w:sz w:val="16"/>
              </w:rPr>
              <w:t>why_it_came_back</w:t>
            </w:r>
          </w:p>
        </w:tc>
        <w:tc>
          <w:tcPr>
            <w:tcW w:type="dxa" w:w="3742"/>
          </w:tcPr>
          <w:p>
            <w:r/>
            <w:r>
              <w:rPr>
                <w:rFonts w:ascii="Public Sans" w:hAnsi="Public Sans"/>
                <w:sz w:val="16"/>
              </w:rPr>
              <w:t>2026-09-28</w:t>
            </w:r>
          </w:p>
        </w:tc>
      </w:tr>
      <w:tr>
        <w:tc>
          <w:tcPr>
            <w:tcW w:type="dxa" w:w="5669"/>
          </w:tcPr>
          <w:p>
            <w:r/>
            <w:r>
              <w:rPr>
                <w:rFonts w:ascii="IBM Plex Mono" w:hAnsi="IBM Plex Mono"/>
                <w:sz w:val="16"/>
              </w:rPr>
              <w:t>where_to_buy_it</w:t>
            </w:r>
          </w:p>
        </w:tc>
        <w:tc>
          <w:tcPr>
            <w:tcW w:type="dxa" w:w="3742"/>
          </w:tcPr>
          <w:p>
            <w:r/>
            <w:r>
              <w:rPr>
                <w:rFonts w:ascii="Public Sans" w:hAnsi="Public Sans"/>
                <w:sz w:val="16"/>
              </w:rPr>
              <w:t>2026-09-28</w:t>
            </w:r>
          </w:p>
        </w:tc>
      </w:tr>
      <w:tr>
        <w:tc>
          <w:tcPr>
            <w:tcW w:type="dxa" w:w="5669"/>
          </w:tcPr>
          <w:p>
            <w:r/>
            <w:r>
              <w:rPr>
                <w:rFonts w:ascii="IBM Plex Mono" w:hAnsi="IBM Plex Mono"/>
                <w:sz w:val="16"/>
              </w:rPr>
              <w:t>what_the_car_takes</w:t>
            </w:r>
          </w:p>
        </w:tc>
        <w:tc>
          <w:tcPr>
            <w:tcW w:type="dxa" w:w="3742"/>
          </w:tcPr>
          <w:p>
            <w:r/>
            <w:r>
              <w:rPr>
                <w:rFonts w:ascii="Public Sans" w:hAnsi="Public Sans"/>
                <w:sz w:val="16"/>
              </w:rPr>
              <w:t>2026-09-29</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