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76</w:t>
            </w:r>
          </w:p>
        </w:tc>
      </w:tr>
      <w:tr>
        <w:tc>
          <w:tcPr>
            <w:tcW w:type="dxa" w:w="4759"/>
          </w:tcPr>
          <w:p>
            <w:r>
              <w:t>Functional requirements</w:t>
            </w:r>
          </w:p>
        </w:tc>
        <w:tc>
          <w:tcPr>
            <w:tcW w:type="dxa" w:w="4759"/>
          </w:tcPr>
          <w:p>
            <w:pPr>
              <w:jc w:val="right"/>
            </w:pPr>
            <w:r>
              <w:t>713</w:t>
            </w:r>
          </w:p>
        </w:tc>
      </w:tr>
      <w:tr>
        <w:tc>
          <w:tcPr>
            <w:tcW w:type="dxa" w:w="4759"/>
          </w:tcPr>
          <w:p>
            <w:r>
              <w:t>Capabilities built</w:t>
            </w:r>
          </w:p>
        </w:tc>
        <w:tc>
          <w:tcPr>
            <w:tcW w:type="dxa" w:w="4759"/>
          </w:tcPr>
          <w:p>
            <w:pPr>
              <w:jc w:val="right"/>
            </w:pPr>
            <w:r>
              <w:t>335 of 337</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