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16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122</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63</w:t>
            </w:r>
          </w:p>
        </w:tc>
      </w:tr>
      <w:tr>
        <w:tc>
          <w:tcPr>
            <w:tcW w:type="dxa" w:w="4759"/>
          </w:tcPr>
          <w:p>
            <w:r>
              <w:t>Functional requirements</w:t>
            </w:r>
          </w:p>
        </w:tc>
        <w:tc>
          <w:tcPr>
            <w:tcW w:type="dxa" w:w="4759"/>
          </w:tcPr>
          <w:p>
            <w:pPr>
              <w:jc w:val="right"/>
            </w:pPr>
            <w:r>
              <w:t>619</w:t>
            </w:r>
          </w:p>
        </w:tc>
      </w:tr>
      <w:tr>
        <w:tc>
          <w:tcPr>
            <w:tcW w:type="dxa" w:w="4759"/>
          </w:tcPr>
          <w:p>
            <w:r>
              <w:t>Capabilities built</w:t>
            </w:r>
          </w:p>
        </w:tc>
        <w:tc>
          <w:tcPr>
            <w:tcW w:type="dxa" w:w="4759"/>
          </w:tcPr>
          <w:p>
            <w:pPr>
              <w:jc w:val="right"/>
            </w:pPr>
            <w:r>
              <w:t>238 of 240</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