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89</w:t>
            </w:r>
          </w:p>
        </w:tc>
      </w:tr>
      <w:tr>
        <w:tc>
          <w:tcPr>
            <w:tcW w:type="dxa" w:w="4759"/>
          </w:tcPr>
          <w:p>
            <w:r>
              <w:t>Functional requirements</w:t>
            </w:r>
          </w:p>
        </w:tc>
        <w:tc>
          <w:tcPr>
            <w:tcW w:type="dxa" w:w="4759"/>
          </w:tcPr>
          <w:p>
            <w:pPr>
              <w:jc w:val="right"/>
            </w:pPr>
            <w:r>
              <w:t>795</w:t>
            </w:r>
          </w:p>
        </w:tc>
      </w:tr>
      <w:tr>
        <w:tc>
          <w:tcPr>
            <w:tcW w:type="dxa" w:w="4759"/>
          </w:tcPr>
          <w:p>
            <w:r>
              <w:t>Capabilities built</w:t>
            </w:r>
          </w:p>
        </w:tc>
        <w:tc>
          <w:tcPr>
            <w:tcW w:type="dxa" w:w="4759"/>
          </w:tcPr>
          <w:p>
            <w:pPr>
              <w:jc w:val="right"/>
            </w:pPr>
            <w:r>
              <w:t>416 of 420</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