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15 September 2026, after Phase 46.</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10965448"/>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965448"/>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11208515"/>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11208515"/>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5461199"/>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9314173"/>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9314173"/>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10965448"/>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965448"/>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10965448"/>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965448"/>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11208515"/>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11208515"/>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10002462"/>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10002462"/>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862537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862537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receip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751499"/>
            <wp:docPr id="20" name="Picture 20"/>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2"/>
      </w:pPr>
      <w:r>
        <w:t>Pay now, and what became of it</w:t>
      </w:r>
    </w:p>
    <w:p>
      <w:pPr>
        <w:spacing w:after="120"/>
      </w:pPr>
      <w:r>
        <w:rPr>
          <w:rFonts w:ascii="Public Sans" w:hAnsi="Public Sans"/>
          <w:b w:val="0"/>
          <w:i/>
          <w:color w:val="6B7577"/>
          <w:sz w:val="19"/>
        </w:rPr>
        <w:t>Phase 32,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portal used to say "pay the workshop directly". A customer on their phone at nine in the evening does not want a sort code; they want a button. The button opens the provider's checkout for exactly what is owed, and whichever way it goes the customer comes back to the same page with the outcome in a sentence.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filled petrol button per outstanding invoice, full width, with a card icon and the amount inside it: "Pay £750.00 by card". Beneath it, a lock and the assurance that the card details never reach the workshop; paying the workshop directly stays possible.</w:t>
      </w:r>
    </w:p>
    <w:p>
      <w:pPr>
        <w:pStyle w:val="ListBullet"/>
        <w:spacing w:after="60"/>
      </w:pPr>
      <w:r>
        <w:rPr>
          <w:rFonts w:ascii="Public Sans" w:hAnsi="Public Sans"/>
          <w:sz w:val="21"/>
        </w:rPr>
        <w:t>The outcome comes back as an alert at the top: paid and a receipt on its way; declined, with the provider's reason and the assurance that nothing was taken; cancelled; or not yet confirmed.</w:t>
      </w:r>
    </w:p>
    <w:p>
      <w:pPr>
        <w:pStyle w:val="ListBullet"/>
        <w:spacing w:after="160"/>
      </w:pPr>
      <w:r>
        <w:rPr>
          <w:rFonts w:ascii="Public Sans" w:hAnsi="Public Sans"/>
          <w:sz w:val="21"/>
        </w:rPr>
        <w:t>The workshop's card payments page is every attempt, newest first, with a declined card kept beside its reason rather than vanishing, and a reconcile button that names each difference between the provider and the books.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failed payment is a row with a reason, so the customer and the workshop see the same fact. The provider is a witness and never the record: the payment is recorded once, at the moment the attempt succeeds, and the reconcile page exists because two records can disagree and somebody has to be told.</w:t>
      </w:r>
    </w:p>
    <w:p>
      <w:pPr>
        <w:jc w:val="center"/>
      </w:pPr>
      <w:r>
        <w:drawing>
          <wp:inline xmlns:a="http://schemas.openxmlformats.org/drawingml/2006/main" xmlns:pic="http://schemas.openxmlformats.org/drawingml/2006/picture">
            <wp:extent cx="2520000" cy="5453538"/>
            <wp:docPr id="21" name="Picture 21"/>
            <wp:cNvGraphicFramePr>
              <a:graphicFrameLocks noChangeAspect="1"/>
            </wp:cNvGraphicFramePr>
            <a:graphic>
              <a:graphicData uri="http://schemas.openxmlformats.org/drawingml/2006/picture">
                <pic:pic>
                  <pic:nvPicPr>
                    <pic:cNvPr id="0" name="portal-invoices.png"/>
                    <pic:cNvPicPr/>
                  </pic:nvPicPr>
                  <pic:blipFill>
                    <a:blip r:embed="rId24"/>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portal's invoices, with Pay now.</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card-payment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Every card payment tried, and the provider's word against the books.</w:t>
      </w:r>
    </w:p>
    <w:p>
      <w:pPr>
        <w:spacing w:after="280"/>
      </w:pPr>
      <w:r>
        <w:rPr>
          <w:rFonts w:ascii="Public Sans" w:hAnsi="Public Sans"/>
          <w:b w:val="0"/>
          <w:i w:val="0"/>
          <w:color w:val="6B7577"/>
          <w:sz w:val="17"/>
        </w:rPr>
        <w:t>Source: docs/02-design/04-state-machines.md, section 10; 07-accounting-model.md, section 3.18</w:t>
      </w:r>
    </w:p>
    <w:p>
      <w:pPr>
        <w:pBdr>
          <w:bottom w:val="single" w:sz="6" w:space="1" w:color="D9B36C"/>
        </w:pBdr>
        <w:spacing w:after="80"/>
      </w:pPr>
    </w:p>
    <w:p>
      <w:pPr>
        <w:pStyle w:val="Heading2"/>
      </w:pPr>
      <w:r>
        <w:t>The customer's side, redesigned</w:t>
      </w:r>
    </w:p>
    <w:p>
      <w:pPr>
        <w:spacing w:after="120"/>
      </w:pPr>
      <w:r>
        <w:rPr>
          <w:rFonts w:ascii="Public Sans" w:hAnsi="Public Sans"/>
          <w:b w:val="0"/>
          <w:i/>
          <w:color w:val="6B7577"/>
          <w:sz w:val="19"/>
        </w:rPr>
        <w:t>Phase 32.5,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opened the portal on their own phone and found the navigation missing from the home page, invoices reachable only through a vehicle, a referral code sitting between the cars and the service history, and a phone layout stretched across a monitor. Each of those is a small thing; together they made the customer's side feel like an afterthought, and the customer's side is the passport's audience.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fixed tab bar at the bottom of the phone, five tabs with icons, on every page: Home, Passports, Invoices, Updates, Book. On a desktop the same tabs run under the header and the home becomes two columns.</w:t>
      </w:r>
    </w:p>
    <w:p>
      <w:pPr>
        <w:pStyle w:val="ListBullet"/>
        <w:spacing w:after="60"/>
      </w:pPr>
      <w:r>
        <w:rPr>
          <w:rFonts w:ascii="Public Sans" w:hAnsi="Public Sans"/>
          <w:sz w:val="21"/>
        </w:rPr>
        <w:t>The home leads with Needs you: an estimate to decide, invoices to pay by card, a recall to book, each with its own button. Then the cars as cards with one way in, then recent work.</w:t>
      </w:r>
    </w:p>
    <w:p>
      <w:pPr>
        <w:pStyle w:val="ListBullet"/>
        <w:spacing w:after="60"/>
      </w:pPr>
      <w:r>
        <w:rPr>
          <w:rFonts w:ascii="Public Sans" w:hAnsi="Public Sans"/>
          <w:sz w:val="21"/>
        </w:rPr>
        <w:t>Rewards are a page: points per workshop and the referral code, with the rule beside it. The home gives them one line in the side column.</w:t>
      </w:r>
    </w:p>
    <w:p>
      <w:pPr>
        <w:pStyle w:val="ListBullet"/>
        <w:spacing w:after="160"/>
      </w:pPr>
      <w:r>
        <w:rPr>
          <w:rFonts w:ascii="Public Sans" w:hAnsi="Public Sans"/>
          <w:sz w:val="21"/>
        </w:rPr>
        <w:t>A directory of every workshop on Carnet, findable by name or place, with Book here on each; booking at a new one makes the customer its customer.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person who visits twice a year should never have to learn a layout. Everything is one tap away and the first thing on the screen is the thing that needs them, with the button that finishes it.</w:t>
      </w:r>
    </w:p>
    <w:p>
      <w:pPr>
        <w:jc w:val="center"/>
      </w:pPr>
      <w:r>
        <w:drawing>
          <wp:inline xmlns:a="http://schemas.openxmlformats.org/drawingml/2006/main" xmlns:pic="http://schemas.openxmlformats.org/drawingml/2006/picture">
            <wp:extent cx="2520000" cy="11488615"/>
            <wp:docPr id="23" name="Picture 2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home, on a phone.</w:t>
      </w:r>
    </w:p>
    <w:p>
      <w:pPr>
        <w:jc w:val="center"/>
      </w:pPr>
      <w:r>
        <w:drawing>
          <wp:inline xmlns:a="http://schemas.openxmlformats.org/drawingml/2006/main" xmlns:pic="http://schemas.openxmlformats.org/drawingml/2006/picture">
            <wp:extent cx="5903999" cy="3689999"/>
            <wp:docPr id="24" name="Picture 24"/>
            <wp:cNvGraphicFramePr>
              <a:graphicFrameLocks noChangeAspect="1"/>
            </wp:cNvGraphicFramePr>
            <a:graphic>
              <a:graphicData uri="http://schemas.openxmlformats.org/drawingml/2006/picture">
                <pic:pic>
                  <pic:nvPicPr>
                    <pic:cNvPr id="0" name="portal-desktop.png"/>
                    <pic:cNvPicPr/>
                  </pic:nvPicPr>
                  <pic:blipFill>
                    <a:blip r:embed="rId2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home, on a desktop.</w:t>
      </w:r>
    </w:p>
    <w:p>
      <w:pPr>
        <w:jc w:val="center"/>
      </w:pPr>
      <w:r>
        <w:drawing>
          <wp:inline xmlns:a="http://schemas.openxmlformats.org/drawingml/2006/main" xmlns:pic="http://schemas.openxmlformats.org/drawingml/2006/picture">
            <wp:extent cx="2520000" cy="5453538"/>
            <wp:docPr id="25" name="Picture 25"/>
            <wp:cNvGraphicFramePr>
              <a:graphicFrameLocks noChangeAspect="1"/>
            </wp:cNvGraphicFramePr>
            <a:graphic>
              <a:graphicData uri="http://schemas.openxmlformats.org/drawingml/2006/picture">
                <pic:pic>
                  <pic:nvPicPr>
                    <pic:cNvPr id="0" name="portal-rewards.png"/>
                    <pic:cNvPicPr/>
                  </pic:nvPicPr>
                  <pic:blipFill>
                    <a:blip r:embed="rId28"/>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Rewards, on their own page.</w:t>
      </w:r>
    </w:p>
    <w:p>
      <w:pPr>
        <w:jc w:val="center"/>
      </w:pPr>
      <w:r>
        <w:drawing>
          <wp:inline xmlns:a="http://schemas.openxmlformats.org/drawingml/2006/main" xmlns:pic="http://schemas.openxmlformats.org/drawingml/2006/picture">
            <wp:extent cx="2520000" cy="5892923"/>
            <wp:docPr id="26" name="Picture 26"/>
            <wp:cNvGraphicFramePr>
              <a:graphicFrameLocks noChangeAspect="1"/>
            </wp:cNvGraphicFramePr>
            <a:graphic>
              <a:graphicData uri="http://schemas.openxmlformats.org/drawingml/2006/picture">
                <pic:pic>
                  <pic:nvPicPr>
                    <pic:cNvPr id="0" name="portal-workshops.png"/>
                    <pic:cNvPicPr/>
                  </pic:nvPicPr>
                  <pic:blipFill>
                    <a:blip r:embed="rId29"/>
                    <a:stretch>
                      <a:fillRect/>
                    </a:stretch>
                  </pic:blipFill>
                  <pic:spPr>
                    <a:xfrm>
                      <a:off x="0" y="0"/>
                      <a:ext cx="2520000" cy="5892923"/>
                    </a:xfrm>
                    <a:prstGeom prst="rect"/>
                  </pic:spPr>
                </pic:pic>
              </a:graphicData>
            </a:graphic>
          </wp:inline>
        </w:drawing>
      </w:r>
    </w:p>
    <w:p>
      <w:pPr>
        <w:spacing w:after="240"/>
        <w:jc w:val="center"/>
      </w:pPr>
      <w:r>
        <w:rPr>
          <w:rFonts w:ascii="Public Sans" w:hAnsi="Public Sans"/>
          <w:b w:val="0"/>
          <w:i/>
          <w:color w:val="6B7577"/>
          <w:sz w:val="18"/>
        </w:rPr>
        <w:t>The workshop directory.</w:t>
      </w:r>
    </w:p>
    <w:p>
      <w:pPr>
        <w:spacing w:after="280"/>
      </w:pPr>
      <w:r>
        <w:rPr>
          <w:rFonts w:ascii="Public Sans" w:hAnsi="Public Sans"/>
          <w:b w:val="0"/>
          <w:i w:val="0"/>
          <w:color w:val="6B7577"/>
          <w:sz w:val="17"/>
        </w:rPr>
        <w:t>Source: docs/02-design/09-wireframes.md, section 11; 08-design-system.md, section 7</w:t>
      </w:r>
    </w:p>
    <w:p>
      <w:pPr>
        <w:pBdr>
          <w:bottom w:val="single" w:sz="6" w:space="1" w:color="D9B36C"/>
        </w:pBdr>
        <w:spacing w:after="80"/>
      </w:pPr>
    </w:p>
    <w:p>
      <w:pPr>
        <w:pStyle w:val="Heading2"/>
      </w:pPr>
      <w:r>
        <w:t>The charge, said before the card</w:t>
      </w:r>
    </w:p>
    <w:p>
      <w:pPr>
        <w:spacing w:after="120"/>
      </w:pPr>
      <w:r>
        <w:rPr>
          <w:rFonts w:ascii="Public Sans" w:hAnsi="Public Sans"/>
          <w:b w:val="0"/>
          <w:i/>
          <w:color w:val="6B7577"/>
          <w:sz w:val="19"/>
        </w:rPr>
        <w:t>Phase 32.6,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asked for a trial that could not be mistaken for a trap: the card first, fourteen days, and the charge said in plain words everywhere it could be. The design problem is where to put a sentence nobody wants to read so that everybody reads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sign-up form the terms are a box beside the button, not a footnote under it, and the box itself says the plan, the price per bay, the day the card is charged and that cancelling is two presses. The button says what happens next: create the workshop and add a card.</w:t>
      </w:r>
    </w:p>
    <w:p>
      <w:pPr>
        <w:pStyle w:val="ListBullet"/>
        <w:spacing w:after="60"/>
      </w:pPr>
      <w:r>
        <w:rPr>
          <w:rFonts w:ascii="Public Sans" w:hAnsi="Public Sans"/>
          <w:sz w:val="21"/>
        </w:rPr>
        <w:t>The terms page leads with the same sentence in bold, then cancelling, then what happens when a payment fails, then the data. Seven short sections, no legal register.</w:t>
      </w:r>
    </w:p>
    <w:p>
      <w:pPr>
        <w:pStyle w:val="ListBullet"/>
        <w:spacing w:after="160"/>
      </w:pPr>
      <w:r>
        <w:rPr>
          <w:rFonts w:ascii="Public Sans" w:hAnsi="Public Sans"/>
          <w:sz w:val="21"/>
        </w:rPr>
        <w:t>The billing page states the next charge as an amount on a date, the card by its last four digits, and the invoices as a table with the provider's PDF. A workshop without a card sees one button and one sentence: nothing is charged until the trial ends.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sentence repeated in the same words in five places is a sentence nobody can claim not to have seen. The reminder three days before, once, is the same sentence with a date and an amount in it.</w:t>
      </w:r>
    </w:p>
    <w:p>
      <w:pPr>
        <w:jc w:val="center"/>
      </w:pPr>
      <w:r>
        <w:drawing>
          <wp:inline xmlns:a="http://schemas.openxmlformats.org/drawingml/2006/main" xmlns:pic="http://schemas.openxmlformats.org/drawingml/2006/picture">
            <wp:extent cx="5903999" cy="5461199"/>
            <wp:docPr id="27" name="Picture 27"/>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terms beside the button.</w:t>
      </w:r>
    </w:p>
    <w:p>
      <w:pPr>
        <w:jc w:val="center"/>
      </w:pPr>
      <w:r>
        <w:drawing>
          <wp:inline xmlns:a="http://schemas.openxmlformats.org/drawingml/2006/main" xmlns:pic="http://schemas.openxmlformats.org/drawingml/2006/picture">
            <wp:extent cx="4320000" cy="6507000"/>
            <wp:docPr id="28" name="Picture 28"/>
            <wp:cNvGraphicFramePr>
              <a:graphicFrameLocks noChangeAspect="1"/>
            </wp:cNvGraphicFramePr>
            <a:graphic>
              <a:graphicData uri="http://schemas.openxmlformats.org/drawingml/2006/picture">
                <pic:pic>
                  <pic:nvPicPr>
                    <pic:cNvPr id="0" name="terms.png"/>
                    <pic:cNvPicPr/>
                  </pic:nvPicPr>
                  <pic:blipFill>
                    <a:blip r:embed="rId30"/>
                    <a:stretch>
                      <a:fillRect/>
                    </a:stretch>
                  </pic:blipFill>
                  <pic:spPr>
                    <a:xfrm>
                      <a:off x="0" y="0"/>
                      <a:ext cx="4320000" cy="6507000"/>
                    </a:xfrm>
                    <a:prstGeom prst="rect"/>
                  </pic:spPr>
                </pic:pic>
              </a:graphicData>
            </a:graphic>
          </wp:inline>
        </w:drawing>
      </w:r>
    </w:p>
    <w:p>
      <w:pPr>
        <w:spacing w:after="240"/>
        <w:jc w:val="center"/>
      </w:pPr>
      <w:r>
        <w:rPr>
          <w:rFonts w:ascii="Public Sans" w:hAnsi="Public Sans"/>
          <w:b w:val="0"/>
          <w:i/>
          <w:color w:val="6B7577"/>
          <w:sz w:val="18"/>
        </w:rPr>
        <w:t>The terms, in plain words.</w:t>
      </w:r>
    </w:p>
    <w:p>
      <w:pPr>
        <w:jc w:val="center"/>
      </w:pPr>
      <w:r>
        <w:drawing>
          <wp:inline xmlns:a="http://schemas.openxmlformats.org/drawingml/2006/main" xmlns:pic="http://schemas.openxmlformats.org/drawingml/2006/picture">
            <wp:extent cx="5903999" cy="3751499"/>
            <wp:docPr id="29" name="Picture 29"/>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billing page: card, next charge, invoices.</w:t>
      </w:r>
    </w:p>
    <w:p>
      <w:pPr>
        <w:spacing w:after="280"/>
      </w:pPr>
      <w:r>
        <w:rPr>
          <w:rFonts w:ascii="Public Sans" w:hAnsi="Public Sans"/>
          <w:b w:val="0"/>
          <w:i w:val="0"/>
          <w:color w:val="6B7577"/>
          <w:sz w:val="17"/>
        </w:rPr>
        <w:t>Source: docs/02-design/04-state-machines.md, section 9; 05-security-model.md, section 7.2</w:t>
      </w:r>
    </w:p>
    <w:p>
      <w:pPr>
        <w:pBdr>
          <w:bottom w:val="single" w:sz="6" w:space="1" w:color="D9B36C"/>
        </w:pBdr>
        <w:spacing w:after="80"/>
      </w:pPr>
    </w:p>
    <w:p>
      <w:pPr>
        <w:pStyle w:val="Heading2"/>
      </w:pPr>
      <w:r>
        <w:t>Priced in the workshop's money, and the customer's account</w:t>
      </w:r>
    </w:p>
    <w:p>
      <w:pPr>
        <w:spacing w:after="120"/>
      </w:pPr>
      <w:r>
        <w:rPr>
          <w:rFonts w:ascii="Public Sans" w:hAnsi="Public Sans"/>
          <w:b w:val="0"/>
          <w:i/>
          <w:color w:val="6B7577"/>
          <w:sz w:val="19"/>
        </w:rPr>
        <w:t>Phase 32.7,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put it in one sentence: everything in one currency based on the country, not shown in pounds and billed in another. And a customer looking for settings in the portal found none.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pricing page takes a country and shows every plan in that currency, with the tax named the way that country names it. No second currency appears anywhere on the page.</w:t>
      </w:r>
    </w:p>
    <w:p>
      <w:pPr>
        <w:pStyle w:val="ListBullet"/>
        <w:spacing w:after="60"/>
      </w:pPr>
      <w:r>
        <w:rPr>
          <w:rFonts w:ascii="Public Sans" w:hAnsi="Public Sans"/>
          <w:sz w:val="21"/>
        </w:rPr>
        <w:t>On the sign-up form, changing the country changes the plan's prices and the sentence beside the terms box in the same breath; they are one component.</w:t>
      </w:r>
    </w:p>
    <w:p>
      <w:pPr>
        <w:pStyle w:val="ListBullet"/>
        <w:spacing w:after="160"/>
      </w:pPr>
      <w:r>
        <w:rPr>
          <w:rFonts w:ascii="Public Sans" w:hAnsi="Public Sans"/>
          <w:sz w:val="21"/>
        </w:rPr>
        <w:t>The customer's Account page: details the workshops know them by, a password change that asks for the current one, a row per workshop with email and text switches, and sign out. A tab on the desktop, a person icon in the header on a phone.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One currency per page removes a whole class of doubt. A price book set by hand, rather than a rate on the day, means the number a workshop saw on Tuesday is the number it is charged on Friday.</w:t>
      </w:r>
    </w:p>
    <w:p>
      <w:pPr>
        <w:jc w:val="center"/>
      </w:pPr>
      <w:r>
        <w:drawing>
          <wp:inline xmlns:a="http://schemas.openxmlformats.org/drawingml/2006/main" xmlns:pic="http://schemas.openxmlformats.org/drawingml/2006/picture">
            <wp:extent cx="5903999" cy="16518897"/>
            <wp:docPr id="30" name="Picture 30"/>
            <wp:cNvGraphicFramePr>
              <a:graphicFrameLocks noChangeAspect="1"/>
            </wp:cNvGraphicFramePr>
            <a:graphic>
              <a:graphicData uri="http://schemas.openxmlformats.org/drawingml/2006/picture">
                <pic:pic>
                  <pic:nvPicPr>
                    <pic:cNvPr id="0" name="pricing.png"/>
                    <pic:cNvPicPr/>
                  </pic:nvPicPr>
                  <pic:blipFill>
                    <a:blip r:embed="rId31"/>
                    <a:stretch>
                      <a:fillRect/>
                    </a:stretch>
                  </pic:blipFill>
                  <pic:spPr>
                    <a:xfrm>
                      <a:off x="0" y="0"/>
                      <a:ext cx="5903999" cy="16518897"/>
                    </a:xfrm>
                    <a:prstGeom prst="rect"/>
                  </pic:spPr>
                </pic:pic>
              </a:graphicData>
            </a:graphic>
          </wp:inline>
        </w:drawing>
      </w:r>
    </w:p>
    <w:p>
      <w:pPr>
        <w:spacing w:after="240"/>
        <w:jc w:val="center"/>
      </w:pPr>
      <w:r>
        <w:rPr>
          <w:rFonts w:ascii="Public Sans" w:hAnsi="Public Sans"/>
          <w:b w:val="0"/>
          <w:i/>
          <w:color w:val="6B7577"/>
          <w:sz w:val="18"/>
        </w:rPr>
        <w:t>The pricing page, in Canadian dollars.</w:t>
      </w:r>
    </w:p>
    <w:p>
      <w:pPr>
        <w:jc w:val="center"/>
      </w:pPr>
      <w:r>
        <w:drawing>
          <wp:inline xmlns:a="http://schemas.openxmlformats.org/drawingml/2006/main" xmlns:pic="http://schemas.openxmlformats.org/drawingml/2006/picture">
            <wp:extent cx="2520000" cy="10777846"/>
            <wp:docPr id="31" name="Picture 31"/>
            <wp:cNvGraphicFramePr>
              <a:graphicFrameLocks noChangeAspect="1"/>
            </wp:cNvGraphicFramePr>
            <a:graphic>
              <a:graphicData uri="http://schemas.openxmlformats.org/drawingml/2006/picture">
                <pic:pic>
                  <pic:nvPicPr>
                    <pic:cNvPr id="0" name="portal-settings.png"/>
                    <pic:cNvPicPr/>
                  </pic:nvPicPr>
                  <pic:blipFill>
                    <a:blip r:embed="rId32"/>
                    <a:stretch>
                      <a:fillRect/>
                    </a:stretch>
                  </pic:blipFill>
                  <pic:spPr>
                    <a:xfrm>
                      <a:off x="0" y="0"/>
                      <a:ext cx="2520000" cy="10777846"/>
                    </a:xfrm>
                    <a:prstGeom prst="rect"/>
                  </pic:spPr>
                </pic:pic>
              </a:graphicData>
            </a:graphic>
          </wp:inline>
        </w:drawing>
      </w:r>
    </w:p>
    <w:p>
      <w:pPr>
        <w:spacing w:after="240"/>
        <w:jc w:val="center"/>
      </w:pPr>
      <w:r>
        <w:rPr>
          <w:rFonts w:ascii="Public Sans" w:hAnsi="Public Sans"/>
          <w:b w:val="0"/>
          <w:i/>
          <w:color w:val="6B7577"/>
          <w:sz w:val="18"/>
        </w:rPr>
        <w:t>The customer's account page.</w:t>
      </w:r>
    </w:p>
    <w:p>
      <w:pPr>
        <w:spacing w:after="280"/>
      </w:pPr>
      <w:r>
        <w:rPr>
          <w:rFonts w:ascii="Public Sans" w:hAnsi="Public Sans"/>
          <w:b w:val="0"/>
          <w:i w:val="0"/>
          <w:color w:val="6B7577"/>
          <w:sz w:val="17"/>
        </w:rPr>
        <w:t>Source: docs/00-product/07-business-model.md; 08-design-system.md, section 12.6</w:t>
      </w:r>
    </w:p>
    <w:p>
      <w:pPr>
        <w:pBdr>
          <w:bottom w:val="single" w:sz="6" w:space="1" w:color="D9B36C"/>
        </w:pBdr>
        <w:spacing w:after="80"/>
      </w:pPr>
    </w:p>
    <w:p>
      <w:pPr>
        <w:pStyle w:val="Heading2"/>
      </w:pPr>
      <w:r>
        <w:t>Data in, data out</w:t>
      </w:r>
    </w:p>
    <w:p>
      <w:pPr>
        <w:spacing w:after="120"/>
      </w:pPr>
      <w:r>
        <w:rPr>
          <w:rFonts w:ascii="Public Sans" w:hAnsi="Public Sans"/>
          <w:b w:val="0"/>
          <w:i/>
          <w:color w:val="6B7577"/>
          <w:sz w:val="19"/>
        </w:rPr>
        <w:t>Phase 33,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arriving with five thousand customers in another system, and a workshop leaving with everything: both are one page, because both are the same promise, that the data is theirs.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import card leads: what is in the file, the file, one button. Beneath it, one line per dataset saying what a row becomes.</w:t>
      </w:r>
    </w:p>
    <w:p>
      <w:pPr>
        <w:pStyle w:val="ListBullet"/>
        <w:spacing w:after="60"/>
      </w:pPr>
      <w:r>
        <w:rPr>
          <w:rFonts w:ascii="Public Sans" w:hAnsi="Public Sans"/>
          <w:sz w:val="21"/>
        </w:rPr>
        <w:t>On the batch page the three steps sit side by side: which column is which, with the first rows shown beside each header; what would go in, with every problem by spreadsheet row and field; then one button naming the count.</w:t>
      </w:r>
    </w:p>
    <w:p>
      <w:pPr>
        <w:pStyle w:val="ListBullet"/>
        <w:spacing w:after="160"/>
      </w:pPr>
      <w:r>
        <w:rPr>
          <w:rFonts w:ascii="Public Sans" w:hAnsi="Public Sans"/>
          <w:sz w:val="21"/>
        </w:rPr>
        <w:t>The export card is the datasets as a list with a download on each and Everything as the primary, and a sentence saying exports work in every state of the subscription.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Problems named by row and field are problems a person can fix in the spreadsheet they already have open. Writing every row through the page's own function means the import cannot do anything the page could not.</w:t>
      </w:r>
    </w:p>
    <w:p>
      <w:pPr>
        <w:jc w:val="center"/>
      </w:pPr>
      <w:r>
        <w:drawing>
          <wp:inline xmlns:a="http://schemas.openxmlformats.org/drawingml/2006/main" xmlns:pic="http://schemas.openxmlformats.org/drawingml/2006/picture">
            <wp:extent cx="5903999" cy="4806224"/>
            <wp:docPr id="32" name="Picture 32"/>
            <wp:cNvGraphicFramePr>
              <a:graphicFrameLocks noChangeAspect="1"/>
            </wp:cNvGraphicFramePr>
            <a:graphic>
              <a:graphicData uri="http://schemas.openxmlformats.org/drawingml/2006/picture">
                <pic:pic>
                  <pic:nvPicPr>
                    <pic:cNvPr id="0" name="data.png"/>
                    <pic:cNvPicPr/>
                  </pic:nvPicPr>
                  <pic:blipFill>
                    <a:blip r:embed="rId33"/>
                    <a:stretch>
                      <a:fillRect/>
                    </a:stretch>
                  </pic:blipFill>
                  <pic:spPr>
                    <a:xfrm>
                      <a:off x="0" y="0"/>
                      <a:ext cx="5903999" cy="4806224"/>
                    </a:xfrm>
                    <a:prstGeom prst="rect"/>
                  </pic:spPr>
                </pic:pic>
              </a:graphicData>
            </a:graphic>
          </wp:inline>
        </w:drawing>
      </w:r>
    </w:p>
    <w:p>
      <w:pPr>
        <w:spacing w:after="240"/>
        <w:jc w:val="center"/>
      </w:pPr>
      <w:r>
        <w:rPr>
          <w:rFonts w:ascii="Public Sans" w:hAnsi="Public Sans"/>
          <w:b w:val="0"/>
          <w:i/>
          <w:color w:val="6B7577"/>
          <w:sz w:val="18"/>
        </w:rPr>
        <w:t>Data in and out.</w:t>
      </w:r>
    </w:p>
    <w:p>
      <w:pPr>
        <w:spacing w:after="280"/>
      </w:pPr>
      <w:r>
        <w:rPr>
          <w:rFonts w:ascii="Public Sans" w:hAnsi="Public Sans"/>
          <w:b w:val="0"/>
          <w:i w:val="0"/>
          <w:color w:val="6B7577"/>
          <w:sz w:val="17"/>
        </w:rPr>
        <w:t>Source: docs/02-design/01-domain-model.md, section 3.11; 05-security-model.md, section 7.3</w:t>
      </w:r>
    </w:p>
    <w:p>
      <w:pPr>
        <w:pBdr>
          <w:bottom w:val="single" w:sz="6" w:space="1" w:color="D9B36C"/>
        </w:pBdr>
        <w:spacing w:after="80"/>
      </w:pPr>
    </w:p>
    <w:p>
      <w:pPr>
        <w:pStyle w:val="Heading2"/>
      </w:pPr>
      <w:r>
        <w:t>The workflow, as one thing</w:t>
      </w:r>
    </w:p>
    <w:p>
      <w:pPr>
        <w:spacing w:after="120"/>
      </w:pPr>
      <w:r>
        <w:rPr>
          <w:rFonts w:ascii="Public Sans" w:hAnsi="Public Sans"/>
          <w:b w:val="0"/>
          <w:i/>
          <w:color w:val="6B7577"/>
          <w:sz w:val="19"/>
        </w:rPr>
        <w:t>Phase 34,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does not buy features; it buys the number of presses between a car arriving and the money being in the bank. This phase counted them, wrote the count down, and then took it from 37 to 20.</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booking, one primary button: "Car is here, start the job". It opens the job with the customer, the car, the description, the notes and the technician already on it; the two secondary buttons either side are the telephone's other answers.</w:t>
      </w:r>
    </w:p>
    <w:p>
      <w:pPr>
        <w:pStyle w:val="ListBullet"/>
        <w:spacing w:after="60"/>
      </w:pPr>
      <w:r>
        <w:rPr>
          <w:rFonts w:ascii="Public Sans" w:hAnsi="Public Sans"/>
          <w:sz w:val="21"/>
        </w:rPr>
        <w:t>On the job, "Customer approved in person" sits beside "Send the quote" for as long as the quote is open, because a yes across the counter is as real as a yes on a phone and must cost one press to record.</w:t>
      </w:r>
    </w:p>
    <w:p>
      <w:pPr>
        <w:pStyle w:val="ListBullet"/>
        <w:spacing w:after="60"/>
      </w:pPr>
      <w:r>
        <w:rPr>
          <w:rFonts w:ascii="Public Sans" w:hAnsi="Public Sans"/>
          <w:sz w:val="21"/>
        </w:rPr>
        <w:t>Below the labour and parts, a card called Extra work found: what kind, what was found, how many, at what price, which part. Two buttons: "Quote it now" sends in the same press; "Add to the quote, send later" collects lines. What is on the unsent quote is listed above the form with its own send and approve, so nothing about the extra work leaves this screen.</w:t>
      </w:r>
    </w:p>
    <w:p>
      <w:pPr>
        <w:pStyle w:val="ListBullet"/>
        <w:spacing w:after="160"/>
      </w:pPr>
      <w:r>
        <w:rPr>
          <w:rFonts w:ascii="Public Sans" w:hAnsi="Public Sans"/>
          <w:sz w:val="21"/>
        </w:rPr>
        <w:t>The five workflows are a table in core with a press count per hand-off, before and now, and the screen it happens on; the design document 02-design/11-workflows.md is generated from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hand-off that costs nothing is one the system did on the person's behalf: the approval that puts the lines on the job and reserves the parts. Counting presses in code, with a test that fails if any grow, is what stops a 94-page product from becoming slower than a spreadsheet and a phone.</w:t>
      </w:r>
    </w:p>
    <w:p>
      <w:pPr>
        <w:jc w:val="center"/>
      </w:pPr>
      <w:r>
        <w:drawing>
          <wp:inline xmlns:a="http://schemas.openxmlformats.org/drawingml/2006/main" xmlns:pic="http://schemas.openxmlformats.org/drawingml/2006/picture">
            <wp:extent cx="5903999" cy="11208515"/>
            <wp:docPr id="33" name="Picture 3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11208515"/>
                    </a:xfrm>
                    <a:prstGeom prst="rect"/>
                  </pic:spPr>
                </pic:pic>
              </a:graphicData>
            </a:graphic>
          </wp:inline>
        </w:drawing>
      </w:r>
    </w:p>
    <w:p>
      <w:pPr>
        <w:spacing w:after="240"/>
        <w:jc w:val="center"/>
      </w:pPr>
      <w:r>
        <w:rPr>
          <w:rFonts w:ascii="Public Sans" w:hAnsi="Public Sans"/>
          <w:b w:val="0"/>
          <w:i/>
          <w:color w:val="6B7577"/>
          <w:sz w:val="18"/>
        </w:rPr>
        <w:t>The job, with the extra-work card and the counter approval.</w:t>
      </w:r>
    </w:p>
    <w:p>
      <w:pPr>
        <w:spacing w:after="280"/>
      </w:pPr>
      <w:r>
        <w:rPr>
          <w:rFonts w:ascii="Public Sans" w:hAnsi="Public Sans"/>
          <w:b w:val="0"/>
          <w:i w:val="0"/>
          <w:color w:val="6B7577"/>
          <w:sz w:val="17"/>
        </w:rPr>
        <w:t>Source: docs/02-design/11-workflows.md; 04-state-machines.md, section 2</w:t>
      </w:r>
    </w:p>
    <w:p>
      <w:pPr>
        <w:pBdr>
          <w:bottom w:val="single" w:sz="6" w:space="1" w:color="D9B36C"/>
        </w:pBdr>
        <w:spacing w:after="80"/>
      </w:pPr>
    </w:p>
    <w:p>
      <w:pPr>
        <w:pStyle w:val="Heading2"/>
      </w:pPr>
      <w:r>
        <w:t>Arrival and departure</w:t>
      </w:r>
    </w:p>
    <w:p>
      <w:pPr>
        <w:spacing w:after="120"/>
      </w:pPr>
      <w:r>
        <w:rPr>
          <w:rFonts w:ascii="Public Sans" w:hAnsi="Public Sans"/>
          <w:b w:val="0"/>
          <w:i/>
          <w:color w:val="6B7577"/>
          <w:sz w:val="19"/>
        </w:rPr>
        <w:t>Phase 35,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Most of what a workshop is ever argued with about is settled by what the car was like when it was handed over and when it was handed back. Those two moments are a record of their own, signed.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check-in is one screen filled in with the customer standing there: the mileage off the dash, the fuel as nine buttons in eighths, a walk round the car as twelve places to tick with a note against each, what was left inside, the hook, and a signature pad in the sidebar with one button under it.</w:t>
      </w:r>
    </w:p>
    <w:p>
      <w:pPr>
        <w:pStyle w:val="ListBullet"/>
        <w:spacing w:after="60"/>
      </w:pPr>
      <w:r>
        <w:rPr>
          <w:rFonts w:ascii="Public Sans" w:hAnsi="Public Sans"/>
          <w:sz w:val="21"/>
        </w:rPr>
        <w:t>Saving makes the record and shows it, with the camera button on it, because a walk round a car is six pictures and they belong to the record, not to a form.</w:t>
      </w:r>
    </w:p>
    <w:p>
      <w:pPr>
        <w:pStyle w:val="ListBullet"/>
        <w:spacing w:after="60"/>
      </w:pPr>
      <w:r>
        <w:rPr>
          <w:rFonts w:ascii="Public Sans" w:hAnsi="Public Sans"/>
          <w:sz w:val="21"/>
        </w:rPr>
        <w:t>The check-out puts the money before the mileage: what is outstanding, a primary button to take the payment, and a field to say why the car is leaving unpaid if it is. The hand-back button is disabled until the work is marked completed and the page says so in a sentence.</w:t>
      </w:r>
    </w:p>
    <w:p>
      <w:pPr>
        <w:pStyle w:val="ListBullet"/>
        <w:spacing w:after="160"/>
      </w:pPr>
      <w:r>
        <w:rPr>
          <w:rFonts w:ascii="Public Sans" w:hAnsi="Public Sans"/>
          <w:sz w:val="21"/>
        </w:rPr>
        <w:t>Keys are a sentence on the job and on the technician's card, with the one press each needs: I have them; back on the hook.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signature kept as strokes is a few hundred bytes, redraws at any size and cannot be a pasted picture. Refusing a car that is leaving owing money unless somebody writes down why turns a habit into a record.</w:t>
      </w:r>
    </w:p>
    <w:p>
      <w:pPr>
        <w:jc w:val="center"/>
      </w:pPr>
      <w:r>
        <w:drawing>
          <wp:inline xmlns:a="http://schemas.openxmlformats.org/drawingml/2006/main" xmlns:pic="http://schemas.openxmlformats.org/drawingml/2006/picture">
            <wp:extent cx="5903999" cy="5193674"/>
            <wp:docPr id="34" name="Picture 34"/>
            <wp:cNvGraphicFramePr>
              <a:graphicFrameLocks noChangeAspect="1"/>
            </wp:cNvGraphicFramePr>
            <a:graphic>
              <a:graphicData uri="http://schemas.openxmlformats.org/drawingml/2006/picture">
                <pic:pic>
                  <pic:nvPicPr>
                    <pic:cNvPr id="0" name="check-in.png"/>
                    <pic:cNvPicPr/>
                  </pic:nvPicPr>
                  <pic:blipFill>
                    <a:blip r:embed="rId34"/>
                    <a:stretch>
                      <a:fillRect/>
                    </a:stretch>
                  </pic:blipFill>
                  <pic:spPr>
                    <a:xfrm>
                      <a:off x="0" y="0"/>
                      <a:ext cx="5903999" cy="5193674"/>
                    </a:xfrm>
                    <a:prstGeom prst="rect"/>
                  </pic:spPr>
                </pic:pic>
              </a:graphicData>
            </a:graphic>
          </wp:inline>
        </w:drawing>
      </w:r>
    </w:p>
    <w:p>
      <w:pPr>
        <w:spacing w:after="240"/>
        <w:jc w:val="center"/>
      </w:pPr>
      <w:r>
        <w:rPr>
          <w:rFonts w:ascii="Public Sans" w:hAnsi="Public Sans"/>
          <w:b w:val="0"/>
          <w:i/>
          <w:color w:val="6B7577"/>
          <w:sz w:val="18"/>
        </w:rPr>
        <w:t>Checking a car in.</w:t>
      </w:r>
    </w:p>
    <w:p>
      <w:pPr>
        <w:spacing w:after="280"/>
      </w:pPr>
      <w:r>
        <w:rPr>
          <w:rFonts w:ascii="Public Sans" w:hAnsi="Public Sans"/>
          <w:b w:val="0"/>
          <w:i w:val="0"/>
          <w:color w:val="6B7577"/>
          <w:sz w:val="17"/>
        </w:rPr>
        <w:t>Source: docs/02-design/01-domain-model.md, section 3.13; 05-security-model.md, section 7.4</w:t>
      </w:r>
    </w:p>
    <w:p>
      <w:pPr>
        <w:pBdr>
          <w:bottom w:val="single" w:sz="6" w:space="1" w:color="D9B36C"/>
        </w:pBdr>
        <w:spacing w:after="80"/>
      </w:pPr>
    </w:p>
    <w:p>
      <w:pPr>
        <w:pStyle w:val="Heading2"/>
      </w:pPr>
      <w:r>
        <w:t>Conversations</w:t>
      </w:r>
    </w:p>
    <w:p>
      <w:pPr>
        <w:spacing w:after="120"/>
      </w:pPr>
      <w:r>
        <w:rPr>
          <w:rFonts w:ascii="Public Sans" w:hAnsi="Public Sans"/>
          <w:b w:val="0"/>
          <w:i/>
          <w:color w:val="6B7577"/>
          <w:sz w:val="19"/>
        </w:rPr>
        <w:t>Phase 36,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does not think in channels. They asked a question; the workshop answered or did not. Everything said to and by a customer belongs in one place, on the job it is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list on the left is unread first, a dot and a bold name for what needs reading, the last line as a preview with an arrow for its direction, and the job it is about under the name.</w:t>
      </w:r>
    </w:p>
    <w:p>
      <w:pPr>
        <w:pStyle w:val="ListBullet"/>
        <w:spacing w:after="60"/>
      </w:pPr>
      <w:r>
        <w:rPr>
          <w:rFonts w:ascii="Public Sans" w:hAnsi="Public Sans"/>
          <w:sz w:val="21"/>
        </w:rPr>
        <w:t>The thread on the right reads oldest to newest, sent on the right in the brand tint and received on the left in a bordered card, each with a one-word state, the channel, the time and who wrote it.</w:t>
      </w:r>
    </w:p>
    <w:p>
      <w:pPr>
        <w:pStyle w:val="ListBullet"/>
        <w:spacing w:after="60"/>
      </w:pPr>
      <w:r>
        <w:rPr>
          <w:rFonts w:ascii="Public Sans" w:hAnsi="Public Sans"/>
          <w:sz w:val="21"/>
        </w:rPr>
        <w:t>The composer offers only the channels the customer can be reached on, the one they last wrote on first. Templates are chips that fill the box with a sentence; Payment link is a chip in the brand colour.</w:t>
      </w:r>
    </w:p>
    <w:p>
      <w:pPr>
        <w:pStyle w:val="ListBullet"/>
        <w:spacing w:after="160"/>
      </w:pPr>
      <w:r>
        <w:rPr>
          <w:rFonts w:ascii="Public Sans" w:hAnsi="Public Sans"/>
          <w:sz w:val="21"/>
        </w:rPr>
        <w:t>On the job, the same thread as a card: the last three messages and a reply box, so nobody leaves the job to answer.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thread that is a view over the two message tables rather than a third one keeps the queue and the inbox honest; unread derived from dates rather than a flag cannot drift; refusing a template with a blank is the difference between a workshop's name under a good message and under an embarrassing one.</w:t>
      </w:r>
    </w:p>
    <w:p>
      <w:pPr>
        <w:jc w:val="center"/>
      </w:pPr>
      <w:r>
        <w:drawing>
          <wp:inline xmlns:a="http://schemas.openxmlformats.org/drawingml/2006/main" xmlns:pic="http://schemas.openxmlformats.org/drawingml/2006/picture">
            <wp:extent cx="5903999" cy="3828374"/>
            <wp:docPr id="35" name="Picture 35"/>
            <wp:cNvGraphicFramePr>
              <a:graphicFrameLocks noChangeAspect="1"/>
            </wp:cNvGraphicFramePr>
            <a:graphic>
              <a:graphicData uri="http://schemas.openxmlformats.org/drawingml/2006/picture">
                <pic:pic>
                  <pic:nvPicPr>
                    <pic:cNvPr id="0" name="conversations.png"/>
                    <pic:cNvPicPr/>
                  </pic:nvPicPr>
                  <pic:blipFill>
                    <a:blip r:embed="rId35"/>
                    <a:stretch>
                      <a:fillRect/>
                    </a:stretch>
                  </pic:blipFill>
                  <pic:spPr>
                    <a:xfrm>
                      <a:off x="0" y="0"/>
                      <a:ext cx="5903999" cy="3828374"/>
                    </a:xfrm>
                    <a:prstGeom prst="rect"/>
                  </pic:spPr>
                </pic:pic>
              </a:graphicData>
            </a:graphic>
          </wp:inline>
        </w:drawing>
      </w:r>
    </w:p>
    <w:p>
      <w:pPr>
        <w:spacing w:after="240"/>
        <w:jc w:val="center"/>
      </w:pPr>
      <w:r>
        <w:rPr>
          <w:rFonts w:ascii="Public Sans" w:hAnsi="Public Sans"/>
          <w:b w:val="0"/>
          <w:i/>
          <w:color w:val="6B7577"/>
          <w:sz w:val="18"/>
        </w:rPr>
        <w:t>Conversations, with a thread open.</w:t>
      </w:r>
    </w:p>
    <w:p>
      <w:pPr>
        <w:spacing w:after="280"/>
      </w:pPr>
      <w:r>
        <w:rPr>
          <w:rFonts w:ascii="Public Sans" w:hAnsi="Public Sans"/>
          <w:b w:val="0"/>
          <w:i w:val="0"/>
          <w:color w:val="6B7577"/>
          <w:sz w:val="17"/>
        </w:rPr>
        <w:t>Source: docs/02-design/01-domain-model.md, section 3.14; 06-api-contract.md, inbound</w:t>
      </w:r>
    </w:p>
    <w:p>
      <w:pPr>
        <w:pBdr>
          <w:bottom w:val="single" w:sz="6" w:space="1" w:color="D9B36C"/>
        </w:pBdr>
        <w:spacing w:after="80"/>
      </w:pPr>
    </w:p>
    <w:p>
      <w:pPr>
        <w:pStyle w:val="Heading2"/>
      </w:pPr>
      <w:r>
        <w:t>Packages and templates</w:t>
      </w:r>
    </w:p>
    <w:p>
      <w:pPr>
        <w:spacing w:after="120"/>
      </w:pPr>
      <w:r>
        <w:rPr>
          <w:rFonts w:ascii="Public Sans" w:hAnsi="Public Sans"/>
          <w:b w:val="0"/>
          <w:i/>
          <w:color w:val="6B7577"/>
          <w:sz w:val="19"/>
        </w:rPr>
        <w:t>Phase 37,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"Full service" typed at the counter is a job nobody can pick up without asking. A package is the same words with the labour, the parts, the checklist, the time and the price already decided.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settings page is the list on the left and the editor on the right. Each package is one line: code, name, price with the saving if the fixed price undercuts the lines, hours, how many lines and checks, the kind of work, the interval, whether it is bookable.</w:t>
      </w:r>
    </w:p>
    <w:p>
      <w:pPr>
        <w:pStyle w:val="ListBullet"/>
        <w:spacing w:after="60"/>
      </w:pPr>
      <w:r>
        <w:rPr>
          <w:rFonts w:ascii="Public Sans" w:hAnsi="Public Sans"/>
          <w:sz w:val="21"/>
        </w:rPr>
        <w:t>The editor is six line rows (kind, description, quantity, each, part number) and six checklist rows, because a package with more than that is two packages. A fixed price is one field; blank means the lines add up.</w:t>
      </w:r>
    </w:p>
    <w:p>
      <w:pPr>
        <w:pStyle w:val="ListBullet"/>
        <w:spacing w:after="160"/>
      </w:pPr>
      <w:r>
        <w:rPr>
          <w:rFonts w:ascii="Public Sans" w:hAnsi="Public Sans"/>
          <w:sz w:val="21"/>
        </w:rPr>
        <w:t>On the new-job form the package is the first question; choosing one fills the description. On the job, the labour and parts card offers a package and one button. The booking form and the customer's online booking offer the same list.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Saved whole, a package is never half of one. Recording which package a job came from is what lets completion say when the next one is due, which is the reminder that brings the customer back.</w:t>
      </w:r>
    </w:p>
    <w:p>
      <w:pPr>
        <w:jc w:val="center"/>
      </w:pPr>
      <w:r>
        <w:drawing>
          <wp:inline xmlns:a="http://schemas.openxmlformats.org/drawingml/2006/main" xmlns:pic="http://schemas.openxmlformats.org/drawingml/2006/picture">
            <wp:extent cx="5903999" cy="5485799"/>
            <wp:docPr id="36" name="Picture 36"/>
            <wp:cNvGraphicFramePr>
              <a:graphicFrameLocks noChangeAspect="1"/>
            </wp:cNvGraphicFramePr>
            <a:graphic>
              <a:graphicData uri="http://schemas.openxmlformats.org/drawingml/2006/picture">
                <pic:pic>
                  <pic:nvPicPr>
                    <pic:cNvPr id="0" name="packages.png"/>
                    <pic:cNvPicPr/>
                  </pic:nvPicPr>
                  <pic:blipFill>
                    <a:blip r:embed="rId36"/>
                    <a:stretch>
                      <a:fillRect/>
                    </a:stretch>
                  </pic:blipFill>
                  <pic:spPr>
                    <a:xfrm>
                      <a:off x="0" y="0"/>
                      <a:ext cx="5903999" cy="5485799"/>
                    </a:xfrm>
                    <a:prstGeom prst="rect"/>
                  </pic:spPr>
                </pic:pic>
              </a:graphicData>
            </a:graphic>
          </wp:inline>
        </w:drawing>
      </w:r>
    </w:p>
    <w:p>
      <w:pPr>
        <w:spacing w:after="240"/>
        <w:jc w:val="center"/>
      </w:pPr>
      <w:r>
        <w:rPr>
          <w:rFonts w:ascii="Public Sans" w:hAnsi="Public Sans"/>
          <w:b w:val="0"/>
          <w:i/>
          <w:color w:val="6B7577"/>
          <w:sz w:val="18"/>
        </w:rPr>
        <w:t>Service packages.</w:t>
      </w:r>
    </w:p>
    <w:p>
      <w:pPr>
        <w:spacing w:after="280"/>
      </w:pPr>
      <w:r>
        <w:rPr>
          <w:rFonts w:ascii="Public Sans" w:hAnsi="Public Sans"/>
          <w:b w:val="0"/>
          <w:i w:val="0"/>
          <w:color w:val="6B7577"/>
          <w:sz w:val="17"/>
        </w:rPr>
        <w:t>Source: docs/02-design/01-domain-model.md, section 3.15</w:t>
      </w:r>
    </w:p>
    <w:p>
      <w:pPr>
        <w:pBdr>
          <w:bottom w:val="single" w:sz="6" w:space="1" w:color="D9B36C"/>
        </w:pBdr>
        <w:spacing w:after="80"/>
      </w:pPr>
    </w:p>
    <w:p>
      <w:pPr>
        <w:pStyle w:val="Heading2"/>
      </w:pPr>
      <w:r>
        <w:t>Languages</w:t>
      </w:r>
    </w:p>
    <w:p>
      <w:pPr>
        <w:spacing w:after="120"/>
      </w:pPr>
      <w:r>
        <w:rPr>
          <w:rFonts w:ascii="Public Sans" w:hAnsi="Public Sans"/>
          <w:b w:val="0"/>
          <w:i/>
          <w:color w:val="6B7577"/>
          <w:sz w:val="19"/>
        </w:rPr>
        <w:t>Phase 37.5,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Cairo and a workshop in Lyon should each read Carnet in their own language, chosen once and kept. Arabic reads right to left, and the page has to follow.</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switcher is three buttons, the current one filled in the brand colour: EN, FR, AR in the headers, the full names where there is room.</w:t>
      </w:r>
    </w:p>
    <w:p>
      <w:pPr>
        <w:pStyle w:val="ListBullet"/>
        <w:spacing w:after="60"/>
      </w:pPr>
      <w:r>
        <w:rPr>
          <w:rFonts w:ascii="Public Sans" w:hAnsi="Public Sans"/>
          <w:sz w:val="21"/>
        </w:rPr>
        <w:t>The whole page turns with the language: the root element carries the direction, and a layout built on flex and grid with logical order reads right to left without a second stylesheet.</w:t>
      </w:r>
    </w:p>
    <w:p>
      <w:pPr>
        <w:pStyle w:val="ListBullet"/>
        <w:spacing w:after="160"/>
      </w:pPr>
      <w:r>
        <w:rPr>
          <w:rFonts w:ascii="Public Sans" w:hAnsi="Public Sans"/>
          <w:sz w:val="21"/>
        </w:rPr>
        <w:t>English is the source of truth. A sentence without a translation is shown in English rather than as a key or a blank, and the coverage script names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the English sentence as the key means a page is translated by wrapping what is already there, and the dictionary reads as a list of sentences a person can check.</w:t>
      </w:r>
    </w:p>
    <w:p>
      <w:pPr>
        <w:jc w:val="center"/>
      </w:pPr>
      <w:r>
        <w:drawing>
          <wp:inline xmlns:a="http://schemas.openxmlformats.org/drawingml/2006/main" xmlns:pic="http://schemas.openxmlformats.org/drawingml/2006/picture">
            <wp:extent cx="5903999" cy="3689999"/>
            <wp:docPr id="37" name="Picture 37"/>
            <wp:cNvGraphicFramePr>
              <a:graphicFrameLocks noChangeAspect="1"/>
            </wp:cNvGraphicFramePr>
            <a:graphic>
              <a:graphicData uri="http://schemas.openxmlformats.org/drawingml/2006/picture">
                <pic:pic>
                  <pic:nvPicPr>
                    <pic:cNvPr id="0" name="portal-ar.png"/>
                    <pic:cNvPicPr/>
                  </pic:nvPicPr>
                  <pic:blipFill>
                    <a:blip r:embed="rId3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customer's portal in Arabic, right to left.</w:t>
      </w:r>
    </w:p>
    <w:p>
      <w:pPr>
        <w:jc w:val="center"/>
      </w:pPr>
      <w:r>
        <w:drawing>
          <wp:inline xmlns:a="http://schemas.openxmlformats.org/drawingml/2006/main" xmlns:pic="http://schemas.openxmlformats.org/drawingml/2006/picture">
            <wp:extent cx="5903999" cy="4151249"/>
            <wp:docPr id="38" name="Picture 38"/>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in French.</w:t>
      </w:r>
    </w:p>
    <w:p>
      <w:pPr>
        <w:spacing w:after="280"/>
      </w:pPr>
      <w:r>
        <w:rPr>
          <w:rFonts w:ascii="Public Sans" w:hAnsi="Public Sans"/>
          <w:b w:val="0"/>
          <w:i w:val="0"/>
          <w:color w:val="6B7577"/>
          <w:sz w:val="17"/>
        </w:rPr>
        <w:t>Source: docs/02-design/08-design-system.md, section 12.7</w:t>
      </w:r>
    </w:p>
    <w:p>
      <w:pPr>
        <w:pBdr>
          <w:bottom w:val="single" w:sz="6" w:space="1" w:color="D9B36C"/>
        </w:pBdr>
        <w:spacing w:after="80"/>
      </w:pPr>
    </w:p>
    <w:p>
      <w:pPr>
        <w:pStyle w:val="Heading2"/>
      </w:pPr>
      <w:r>
        <w:t>Parts back, work out</w:t>
      </w:r>
    </w:p>
    <w:p>
      <w:pPr>
        <w:spacing w:after="120"/>
      </w:pPr>
      <w:r>
        <w:rPr>
          <w:rFonts w:ascii="Public Sans" w:hAnsi="Public Sans"/>
          <w:b w:val="0"/>
          <w:i/>
          <w:color w:val="6B7577"/>
          <w:sz w:val="19"/>
        </w:rPr>
        <w:t>Phase 38,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faulty part that goes back without a record is a part paid for twice; an alignment bought in and not written down is work given away. Both belong where the money already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order, a card called Send parts back: which part, how many, why, a core charge for a core, a note. One secondary button, because sending parts back is not the order's main business.</w:t>
      </w:r>
    </w:p>
    <w:p>
      <w:pPr>
        <w:pStyle w:val="ListBullet"/>
        <w:spacing w:after="60"/>
      </w:pPr>
      <w:r>
        <w:rPr>
          <w:rFonts w:ascii="Public Sans" w:hAnsi="Public Sans"/>
          <w:sz w:val="21"/>
        </w:rPr>
        <w:t>The returns page leads with what is waiting on a credit note, each with two forms side by side: the credit note (number, net, tax, and a primary button) and the refusal (the reason, and a secondary one).</w:t>
      </w:r>
    </w:p>
    <w:p>
      <w:pPr>
        <w:pStyle w:val="ListBullet"/>
        <w:spacing w:after="160"/>
      </w:pPr>
      <w:r>
        <w:rPr>
          <w:rFonts w:ascii="Public Sans" w:hAnsi="Public Sans"/>
          <w:sz w:val="21"/>
        </w:rPr>
        <w:t>On the job, Sublet work lists each piece with its vendor, cost, charge and margin, red when it is sold below cost, and the two presses it needs: the work is back, and book their bill.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Taking the cost off the shelf the moment the part leaves, and holding it as a credit due, means stock, the ledger and the supplier's account agree on every day between the part going and the credit arriving.</w:t>
      </w:r>
    </w:p>
    <w:p>
      <w:pPr>
        <w:jc w:val="center"/>
      </w:pPr>
      <w:r>
        <w:drawing>
          <wp:inline xmlns:a="http://schemas.openxmlformats.org/drawingml/2006/main" xmlns:pic="http://schemas.openxmlformats.org/drawingml/2006/picture">
            <wp:extent cx="5903999" cy="3689999"/>
            <wp:docPr id="39" name="Picture 39"/>
            <wp:cNvGraphicFramePr>
              <a:graphicFrameLocks noChangeAspect="1"/>
            </wp:cNvGraphicFramePr>
            <a:graphic>
              <a:graphicData uri="http://schemas.openxmlformats.org/drawingml/2006/picture">
                <pic:pic>
                  <pic:nvPicPr>
                    <pic:cNvPr id="0" name="returns.png"/>
                    <pic:cNvPicPr/>
                  </pic:nvPicPr>
                  <pic:blipFill>
                    <a:blip r:embed="rId3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Returns to suppliers.</w:t>
      </w:r>
    </w:p>
    <w:p>
      <w:pPr>
        <w:spacing w:after="280"/>
      </w:pPr>
      <w:r>
        <w:rPr>
          <w:rFonts w:ascii="Public Sans" w:hAnsi="Public Sans"/>
          <w:b w:val="0"/>
          <w:i w:val="0"/>
          <w:color w:val="6B7577"/>
          <w:sz w:val="17"/>
        </w:rPr>
        <w:t>Source: docs/02-design/07-accounting-model.md, Returns, cores and sublet</w:t>
      </w:r>
    </w:p>
    <w:p>
      <w:pPr>
        <w:pBdr>
          <w:bottom w:val="single" w:sz="6" w:space="1" w:color="D9B36C"/>
        </w:pBdr>
        <w:spacing w:after="80"/>
      </w:pPr>
    </w:p>
    <w:p>
      <w:pPr>
        <w:pStyle w:val="Heading2"/>
      </w:pPr>
      <w:r>
        <w:t>Finding anything</w:t>
      </w:r>
    </w:p>
    <w:p>
      <w:pPr>
        <w:spacing w:after="120"/>
      </w:pPr>
      <w:r>
        <w:rPr>
          <w:rFonts w:ascii="Public Sans" w:hAnsi="Public Sans"/>
          <w:b w:val="0"/>
          <w:i/>
          <w:color w:val="6B7577"/>
          <w:sz w:val="19"/>
        </w:rPr>
        <w:t>Phase 39,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caller reads out a plate, a number, an invoice. The person at the desk should be looking at the record before they finish the sentence, from whatever page they are on.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box sits at the top of the navigation, under the workshop's name, on every page, with the bell beside it carrying the unread count in red.</w:t>
      </w:r>
    </w:p>
    <w:p>
      <w:pPr>
        <w:pStyle w:val="ListBullet"/>
        <w:spacing w:after="60"/>
      </w:pPr>
      <w:r>
        <w:rPr>
          <w:rFonts w:ascii="Public Sans" w:hAnsi="Public Sans"/>
          <w:sz w:val="21"/>
        </w:rPr>
        <w:t>An exact identifier opens its record with no page between. A name gives a grid of cards by kind, vehicles and jobs first, with exact matches badged.</w:t>
      </w:r>
    </w:p>
    <w:p>
      <w:pPr>
        <w:pStyle w:val="ListBullet"/>
        <w:spacing w:after="160"/>
      </w:pPr>
      <w:r>
        <w:rPr>
          <w:rFonts w:ascii="Public Sans" w:hAnsi="Public Sans"/>
          <w:sz w:val="21"/>
        </w:rPr>
        <w:t>Notifications are a single list, unread rows tinted and bold, each with its kind as a small badge and one press to open what it is about.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Going straight to the one record saves the press that a list of one would cost, which is most searches at a counter. Telling only the people whose role acts on something keeps the bell worth looking at.</w:t>
      </w:r>
    </w:p>
    <w:p>
      <w:pPr>
        <w:jc w:val="center"/>
      </w:pPr>
      <w:r>
        <w:drawing>
          <wp:inline xmlns:a="http://schemas.openxmlformats.org/drawingml/2006/main" xmlns:pic="http://schemas.openxmlformats.org/drawingml/2006/picture">
            <wp:extent cx="5903999" cy="3689999"/>
            <wp:docPr id="40" name="Picture 40"/>
            <wp:cNvGraphicFramePr>
              <a:graphicFrameLocks noChangeAspect="1"/>
            </wp:cNvGraphicFramePr>
            <a:graphic>
              <a:graphicData uri="http://schemas.openxmlformats.org/drawingml/2006/picture">
                <pic:pic>
                  <pic:nvPicPr>
                    <pic:cNvPr id="0" name="search.png"/>
                    <pic:cNvPicPr/>
                  </pic:nvPicPr>
                  <pic:blipFill>
                    <a:blip r:embed="rId3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Search results for a name.</w:t>
      </w:r>
    </w:p>
    <w:p>
      <w:pPr>
        <w:jc w:val="center"/>
      </w:pPr>
      <w:r>
        <w:drawing>
          <wp:inline xmlns:a="http://schemas.openxmlformats.org/drawingml/2006/main" xmlns:pic="http://schemas.openxmlformats.org/drawingml/2006/picture">
            <wp:extent cx="5903999" cy="4409549"/>
            <wp:docPr id="41" name="Picture 41"/>
            <wp:cNvGraphicFramePr>
              <a:graphicFrameLocks noChangeAspect="1"/>
            </wp:cNvGraphicFramePr>
            <a:graphic>
              <a:graphicData uri="http://schemas.openxmlformats.org/drawingml/2006/picture">
                <pic:pic>
                  <pic:nvPicPr>
                    <pic:cNvPr id="0" name="notifications.png"/>
                    <pic:cNvPicPr/>
                  </pic:nvPicPr>
                  <pic:blipFill>
                    <a:blip r:embed="rId40"/>
                    <a:stretch>
                      <a:fillRect/>
                    </a:stretch>
                  </pic:blipFill>
                  <pic:spPr>
                    <a:xfrm>
                      <a:off x="0" y="0"/>
                      <a:ext cx="5903999" cy="4409549"/>
                    </a:xfrm>
                    <a:prstGeom prst="rect"/>
                  </pic:spPr>
                </pic:pic>
              </a:graphicData>
            </a:graphic>
          </wp:inline>
        </w:drawing>
      </w:r>
    </w:p>
    <w:p>
      <w:pPr>
        <w:spacing w:after="240"/>
        <w:jc w:val="center"/>
      </w:pPr>
      <w:r>
        <w:rPr>
          <w:rFonts w:ascii="Public Sans" w:hAnsi="Public Sans"/>
          <w:b w:val="0"/>
          <w:i/>
          <w:color w:val="6B7577"/>
          <w:sz w:val="18"/>
        </w:rPr>
        <w:t>Notifications.</w:t>
      </w:r>
    </w:p>
    <w:p>
      <w:pPr>
        <w:spacing w:after="280"/>
      </w:pPr>
      <w:r>
        <w:rPr>
          <w:rFonts w:ascii="Public Sans" w:hAnsi="Public Sans"/>
          <w:b w:val="0"/>
          <w:i w:val="0"/>
          <w:color w:val="6B7577"/>
          <w:sz w:val="17"/>
        </w:rPr>
        <w:t>Source: docs/02-design/05-security-model.md, section 7.5</w:t>
      </w:r>
    </w:p>
    <w:p>
      <w:pPr>
        <w:pBdr>
          <w:bottom w:val="single" w:sz="6" w:space="1" w:color="D9B36C"/>
        </w:pBdr>
        <w:spacing w:after="80"/>
      </w:pPr>
    </w:p>
    <w:p>
      <w:pPr>
        <w:pStyle w:val="Heading2"/>
      </w:pPr>
      <w:r>
        <w:t>The owner's day, sharpened</w:t>
      </w:r>
    </w:p>
    <w:p>
      <w:pPr>
        <w:spacing w:after="120"/>
      </w:pPr>
      <w:r>
        <w:rPr>
          <w:rFonts w:ascii="Public Sans" w:hAnsi="Public Sans"/>
          <w:b w:val="0"/>
          <w:i/>
          <w:color w:val="6B7577"/>
          <w:sz w:val="19"/>
        </w:rPr>
        <w:t>Phase 40,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asks four things the product could answer and did not: how much of the work comes back and whose, whether customers are happier and where, who to ring for a part that has run out, and which supplier has got slower.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dashboard reads in three blocks under small headings: today, the business, inventory. Every tile is a figure that opens its list; none is a word.</w:t>
      </w:r>
    </w:p>
    <w:p>
      <w:pPr>
        <w:pStyle w:val="ListBullet"/>
        <w:spacing w:after="60"/>
      </w:pPr>
      <w:r>
        <w:rPr>
          <w:rFonts w:ascii="Public Sans" w:hAnsi="Public Sans"/>
          <w:sz w:val="21"/>
        </w:rPr>
        <w:t>Comebacks sit on the business report in three columns, by site, by person, and what came back, with the count shown instead of a percentage until ten jobs stand behind it.</w:t>
      </w:r>
    </w:p>
    <w:p>
      <w:pPr>
        <w:pStyle w:val="ListBullet"/>
        <w:spacing w:after="60"/>
      </w:pPr>
      <w:r>
        <w:rPr>
          <w:rFonts w:ascii="Public Sans" w:hAnsi="Public Sans"/>
          <w:sz w:val="21"/>
        </w:rPr>
        <w:t>Reputation gains a strip of six months, each with its average or a dash and the number of answers, and a list by site and by person with a small badge for improving, falling or steady.</w:t>
      </w:r>
    </w:p>
    <w:p>
      <w:pPr>
        <w:pStyle w:val="ListBullet"/>
        <w:spacing w:after="160"/>
      </w:pPr>
      <w:r>
        <w:rPr>
          <w:rFonts w:ascii="Public Sans" w:hAnsi="Public Sans"/>
          <w:sz w:val="21"/>
        </w:rPr>
        <w:t>On a part, every supplier sits in one table with small badges for cheapest, quickest and most reliable, and an Order button that is primary when the part is short.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to state a rate or an average on too little keeps the figures fair to the people they name. Laying suppliers side by side, and leaving the choice to the person, fits how parts are really bought: the cheapest is not always the one that arrives by four o'clock.</w:t>
      </w:r>
    </w:p>
    <w:p>
      <w:pPr>
        <w:jc w:val="center"/>
      </w:pPr>
      <w:r>
        <w:drawing>
          <wp:inline xmlns:a="http://schemas.openxmlformats.org/drawingml/2006/main" xmlns:pic="http://schemas.openxmlformats.org/drawingml/2006/picture">
            <wp:extent cx="5903999" cy="10965448"/>
            <wp:docPr id="42" name="Picture 4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965448"/>
                    </a:xfrm>
                    <a:prstGeom prst="rect"/>
                  </pic:spPr>
                </pic:pic>
              </a:graphicData>
            </a:graphic>
          </wp:inline>
        </w:drawing>
      </w:r>
    </w:p>
    <w:p>
      <w:pPr>
        <w:spacing w:after="240"/>
        <w:jc w:val="center"/>
      </w:pPr>
      <w:r>
        <w:rPr>
          <w:rFonts w:ascii="Public Sans" w:hAnsi="Public Sans"/>
          <w:b w:val="0"/>
          <w:i/>
          <w:color w:val="6B7577"/>
          <w:sz w:val="18"/>
        </w:rPr>
        <w:t>The dashboard in three blocks.</w:t>
      </w:r>
    </w:p>
    <w:p>
      <w:pPr>
        <w:jc w:val="center"/>
      </w:pPr>
      <w:r>
        <w:drawing>
          <wp:inline xmlns:a="http://schemas.openxmlformats.org/drawingml/2006/main" xmlns:pic="http://schemas.openxmlformats.org/drawingml/2006/picture">
            <wp:extent cx="5903999" cy="7496849"/>
            <wp:docPr id="43" name="Picture 43"/>
            <wp:cNvGraphicFramePr>
              <a:graphicFrameLocks noChangeAspect="1"/>
            </wp:cNvGraphicFramePr>
            <a:graphic>
              <a:graphicData uri="http://schemas.openxmlformats.org/drawingml/2006/picture">
                <pic:pic>
                  <pic:nvPicPr>
                    <pic:cNvPr id="0" name="comebacks.png"/>
                    <pic:cNvPicPr/>
                  </pic:nvPicPr>
                  <pic:blipFill>
                    <a:blip r:embed="rId41"/>
                    <a:stretch>
                      <a:fillRect/>
                    </a:stretch>
                  </pic:blipFill>
                  <pic:spPr>
                    <a:xfrm>
                      <a:off x="0" y="0"/>
                      <a:ext cx="5903999" cy="7496849"/>
                    </a:xfrm>
                    <a:prstGeom prst="rect"/>
                  </pic:spPr>
                </pic:pic>
              </a:graphicData>
            </a:graphic>
          </wp:inline>
        </w:drawing>
      </w:r>
    </w:p>
    <w:p>
      <w:pPr>
        <w:spacing w:after="240"/>
        <w:jc w:val="center"/>
      </w:pPr>
      <w:r>
        <w:rPr>
          <w:rFonts w:ascii="Public Sans" w:hAnsi="Public Sans"/>
          <w:b w:val="0"/>
          <w:i/>
          <w:color w:val="6B7577"/>
          <w:sz w:val="18"/>
        </w:rPr>
        <w:t>Comebacks on the business report.</w:t>
      </w:r>
    </w:p>
    <w:p>
      <w:pPr>
        <w:jc w:val="center"/>
      </w:pPr>
      <w:r>
        <w:drawing>
          <wp:inline xmlns:a="http://schemas.openxmlformats.org/drawingml/2006/main" xmlns:pic="http://schemas.openxmlformats.org/drawingml/2006/picture">
            <wp:extent cx="5903999" cy="6457499"/>
            <wp:docPr id="44" name="Picture 44"/>
            <wp:cNvGraphicFramePr>
              <a:graphicFrameLocks noChangeAspect="1"/>
            </wp:cNvGraphicFramePr>
            <a:graphic>
              <a:graphicData uri="http://schemas.openxmlformats.org/drawingml/2006/picture">
                <pic:pic>
                  <pic:nvPicPr>
                    <pic:cNvPr id="0" name="reputation-trend.png"/>
                    <pic:cNvPicPr/>
                  </pic:nvPicPr>
                  <pic:blipFill>
                    <a:blip r:embed="rId42"/>
                    <a:stretch>
                      <a:fillRect/>
                    </a:stretch>
                  </pic:blipFill>
                  <pic:spPr>
                    <a:xfrm>
                      <a:off x="0" y="0"/>
                      <a:ext cx="5903999" cy="6457499"/>
                    </a:xfrm>
                    <a:prstGeom prst="rect"/>
                  </pic:spPr>
                </pic:pic>
              </a:graphicData>
            </a:graphic>
          </wp:inline>
        </w:drawing>
      </w:r>
    </w:p>
    <w:p>
      <w:pPr>
        <w:spacing w:after="240"/>
        <w:jc w:val="center"/>
      </w:pPr>
      <w:r>
        <w:rPr>
          <w:rFonts w:ascii="Public Sans" w:hAnsi="Public Sans"/>
          <w:b w:val="0"/>
          <w:i/>
          <w:color w:val="6B7577"/>
          <w:sz w:val="18"/>
        </w:rPr>
        <w:t>How reputation is moving.</w:t>
      </w:r>
    </w:p>
    <w:p>
      <w:pPr>
        <w:spacing w:after="280"/>
      </w:pPr>
      <w:r>
        <w:rPr>
          <w:rFonts w:ascii="Public Sans" w:hAnsi="Public Sans"/>
          <w:b w:val="0"/>
          <w:i w:val="0"/>
          <w:color w:val="6B7577"/>
          <w:sz w:val="17"/>
        </w:rPr>
        <w:t>Source: docs/00-product/06-roadmap.md, Phase 40</w:t>
      </w:r>
    </w:p>
    <w:p>
      <w:pPr>
        <w:pBdr>
          <w:bottom w:val="single" w:sz="6" w:space="1" w:color="D9B36C"/>
        </w:pBdr>
        <w:spacing w:after="80"/>
      </w:pPr>
    </w:p>
    <w:p>
      <w:pPr>
        <w:pStyle w:val="Heading2"/>
      </w:pPr>
      <w:r>
        <w:t>Every word translated</w:t>
      </w:r>
    </w:p>
    <w:p>
      <w:pPr>
        <w:spacing w:after="120"/>
      </w:pPr>
      <w:r>
        <w:rPr>
          <w:rFonts w:ascii="Public Sans" w:hAnsi="Public Sans"/>
          <w:b w:val="0"/>
          <w:i/>
          <w:color w:val="6B7577"/>
          <w:sz w:val="19"/>
        </w:rPr>
        <w:t>Phase 40.5,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page that is half English is useless to somebody who reads only French or only Arabic. The workshop's own screens, and the sentences that refuse something, had stayed in English.</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about the look changes with the language except the direction: Arabic mirrors the navigation, the tables and the forms from the root element, and French and English read left to right.</w:t>
      </w:r>
    </w:p>
    <w:p>
      <w:pPr>
        <w:pStyle w:val="ListBullet"/>
        <w:spacing w:after="60"/>
      </w:pPr>
      <w:r>
        <w:rPr>
          <w:rFonts w:ascii="Public Sans" w:hAnsi="Public Sans"/>
          <w:sz w:val="21"/>
        </w:rPr>
        <w:t>Headings, labels, empty states, buttons, badges and page titles all turn. Names, registrations and what staff typed never do.</w:t>
      </w:r>
    </w:p>
    <w:p>
      <w:pPr>
        <w:pStyle w:val="ListBullet"/>
        <w:spacing w:after="160"/>
      </w:pPr>
      <w:r>
        <w:rPr>
          <w:rFonts w:ascii="Public Sans" w:hAnsi="Public Sans"/>
          <w:sz w:val="21"/>
        </w:rPr>
        <w:t>A refusal keeps its values: the job number, the amount, the date, with the month in the reader's language.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English stays the source, so the dictionaries read as sentences a person can check, and the scan that names any text left outside the translator keeps the next page from shipping half translated.</w:t>
      </w:r>
    </w:p>
    <w:p>
      <w:pPr>
        <w:jc w:val="center"/>
      </w:pPr>
      <w:r>
        <w:drawing>
          <wp:inline xmlns:a="http://schemas.openxmlformats.org/drawingml/2006/main" xmlns:pic="http://schemas.openxmlformats.org/drawingml/2006/picture">
            <wp:extent cx="5903999" cy="3689999"/>
            <wp:docPr id="45" name="Picture 45"/>
            <wp:cNvGraphicFramePr>
              <a:graphicFrameLocks noChangeAspect="1"/>
            </wp:cNvGraphicFramePr>
            <a:graphic>
              <a:graphicData uri="http://schemas.openxmlformats.org/drawingml/2006/picture">
                <pic:pic>
                  <pic:nvPicPr>
                    <pic:cNvPr id="0" name="dashboard-ar.png"/>
                    <pic:cNvPicPr/>
                  </pic:nvPicPr>
                  <pic:blipFill>
                    <a:blip r:embed="rId4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Arabic.</w:t>
      </w:r>
    </w:p>
    <w:p>
      <w:pPr>
        <w:jc w:val="center"/>
      </w:pPr>
      <w:r>
        <w:drawing>
          <wp:inline xmlns:a="http://schemas.openxmlformats.org/drawingml/2006/main" xmlns:pic="http://schemas.openxmlformats.org/drawingml/2006/picture">
            <wp:extent cx="5903999" cy="3763799"/>
            <wp:docPr id="46" name="Picture 46"/>
            <wp:cNvGraphicFramePr>
              <a:graphicFrameLocks noChangeAspect="1"/>
            </wp:cNvGraphicFramePr>
            <a:graphic>
              <a:graphicData uri="http://schemas.openxmlformats.org/drawingml/2006/picture">
                <pic:pic>
                  <pic:nvPicPr>
                    <pic:cNvPr id="0" name="job-fr.png"/>
                    <pic:cNvPicPr/>
                  </pic:nvPicPr>
                  <pic:blipFill>
                    <a:blip r:embed="rId44"/>
                    <a:stretch>
                      <a:fillRect/>
                    </a:stretch>
                  </pic:blipFill>
                  <pic:spPr>
                    <a:xfrm>
                      <a:off x="0" y="0"/>
                      <a:ext cx="5903999" cy="3763799"/>
                    </a:xfrm>
                    <a:prstGeom prst="rect"/>
                  </pic:spPr>
                </pic:pic>
              </a:graphicData>
            </a:graphic>
          </wp:inline>
        </w:drawing>
      </w:r>
    </w:p>
    <w:p>
      <w:pPr>
        <w:spacing w:after="240"/>
        <w:jc w:val="center"/>
      </w:pPr>
      <w:r>
        <w:rPr>
          <w:rFonts w:ascii="Public Sans" w:hAnsi="Public Sans"/>
          <w:b w:val="0"/>
          <w:i/>
          <w:color w:val="6B7577"/>
          <w:sz w:val="18"/>
        </w:rPr>
        <w:t>The jobs list in French.</w:t>
      </w:r>
    </w:p>
    <w:p>
      <w:pPr>
        <w:spacing w:after="280"/>
      </w:pPr>
      <w:r>
        <w:rPr>
          <w:rFonts w:ascii="Public Sans" w:hAnsi="Public Sans"/>
          <w:b w:val="0"/>
          <w:i w:val="0"/>
          <w:color w:val="6B7577"/>
          <w:sz w:val="17"/>
        </w:rPr>
        <w:t>Source: docs/00-product/06-roadmap.md, Phase 40.5</w:t>
      </w:r>
    </w:p>
    <w:p>
      <w:pPr>
        <w:pBdr>
          <w:bottom w:val="single" w:sz="6" w:space="1" w:color="D9B36C"/>
        </w:pBdr>
        <w:spacing w:after="80"/>
      </w:pPr>
    </w:p>
    <w:p>
      <w:pPr>
        <w:pStyle w:val="Heading2"/>
      </w:pPr>
      <w:r>
        <w:t>Tax, configurable</w:t>
      </w:r>
    </w:p>
    <w:p>
      <w:pPr>
        <w:spacing w:after="120"/>
      </w:pPr>
      <w:r>
        <w:rPr>
          <w:rFonts w:ascii="Public Sans" w:hAnsi="Public Sans"/>
          <w:b w:val="0"/>
          <w:i/>
          <w:color w:val="6B7577"/>
          <w:sz w:val="19"/>
        </w:rPr>
        <w:t>Phase 41,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One rate per line fitted Britain and nowhere with two taxes, prices with tax in, or customers who pay none. And a return was added up by hand from invoices.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rate's form has three rows of a tax's name and percentage, with a tick for a tax charged on top of the ones before it. Most workshops fill one.</w:t>
      </w:r>
    </w:p>
    <w:p>
      <w:pPr>
        <w:pStyle w:val="ListBullet"/>
        <w:spacing w:after="60"/>
      </w:pPr>
      <w:r>
        <w:rPr>
          <w:rFonts w:ascii="Public Sans" w:hAnsi="Public Sans"/>
          <w:sz w:val="21"/>
        </w:rPr>
        <w:t>The invoice lists each tax on its own line, with what it was charged on, and prints the exemption certificate or that prices include tax where either applies.</w:t>
      </w:r>
    </w:p>
    <w:p>
      <w:pPr>
        <w:pStyle w:val="ListBullet"/>
        <w:spacing w:after="160"/>
      </w:pPr>
      <w:r>
        <w:rPr>
          <w:rFonts w:ascii="Public Sans" w:hAnsi="Public Sans"/>
          <w:sz w:val="21"/>
        </w:rPr>
        <w:t>The tax report reads as a return: each tax and rate, what it was charged on, charged, given back and owed, with the period chosen by buttons and a CSV beside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what each document declared, rather than recalculating from rates, means a return filed last quarter reads the same next year, whatever the rates have become.</w:t>
      </w:r>
    </w:p>
    <w:p>
      <w:pPr>
        <w:jc w:val="center"/>
      </w:pPr>
      <w:r>
        <w:drawing>
          <wp:inline xmlns:a="http://schemas.openxmlformats.org/drawingml/2006/main" xmlns:pic="http://schemas.openxmlformats.org/drawingml/2006/picture">
            <wp:extent cx="5903999" cy="3689999"/>
            <wp:docPr id="47" name="Picture 47"/>
            <wp:cNvGraphicFramePr>
              <a:graphicFrameLocks noChangeAspect="1"/>
            </wp:cNvGraphicFramePr>
            <a:graphic>
              <a:graphicData uri="http://schemas.openxmlformats.org/drawingml/2006/picture">
                <pic:pic>
                  <pic:nvPicPr>
                    <pic:cNvPr id="0" name="tax-report.png"/>
                    <pic:cNvPicPr/>
                  </pic:nvPicPr>
                  <pic:blipFill>
                    <a:blip r:embed="rId4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report per tax.</w:t>
      </w:r>
    </w:p>
    <w:p>
      <w:pPr>
        <w:spacing w:after="280"/>
      </w:pPr>
      <w:r>
        <w:rPr>
          <w:rFonts w:ascii="Public Sans" w:hAnsi="Public Sans"/>
          <w:b w:val="0"/>
          <w:i w:val="0"/>
          <w:color w:val="6B7577"/>
          <w:sz w:val="17"/>
        </w:rPr>
        <w:t>Source: docs/02-design/07-accounting-model.md, Tax, configurable</w:t>
      </w:r>
    </w:p>
    <w:p>
      <w:pPr>
        <w:pBdr>
          <w:bottom w:val="single" w:sz="6" w:space="1" w:color="D9B36C"/>
        </w:pBdr>
        <w:spacing w:after="80"/>
      </w:pPr>
    </w:p>
    <w:p>
      <w:pPr>
        <w:pStyle w:val="Heading2"/>
      </w:pPr>
      <w:r>
        <w:t>Paper</w:t>
      </w:r>
    </w:p>
    <w:p>
      <w:pPr>
        <w:spacing w:after="120"/>
      </w:pPr>
      <w:r>
        <w:rPr>
          <w:rFonts w:ascii="Public Sans" w:hAnsi="Public Sans"/>
          <w:b w:val="0"/>
          <w:i/>
          <w:color w:val="6B7577"/>
          <w:sz w:val="19"/>
        </w:rPr>
        <w:t>Phase 42,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runs on paper as much as screens: the sheet on the bench, the tag on the keys, the label on the shelf, and the invoice a customer's company wants as a file.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document is one white sheet on a grey desk, with Back, Download PDF and Print above it on screen and nothing but the sheet on paper.</w:t>
      </w:r>
    </w:p>
    <w:p>
      <w:pPr>
        <w:pStyle w:val="ListBullet"/>
        <w:spacing w:after="60"/>
      </w:pPr>
      <w:r>
        <w:rPr>
          <w:rFonts w:ascii="Public Sans" w:hAnsi="Public Sans"/>
          <w:sz w:val="21"/>
        </w:rPr>
        <w:t>The letterhead runs across the top with the title and number opposite; what the document is about sits in two columns of label and value; tables are ruled lightly, figures aligned to the end.</w:t>
      </w:r>
    </w:p>
    <w:p>
      <w:pPr>
        <w:pStyle w:val="ListBullet"/>
        <w:spacing w:after="60"/>
      </w:pPr>
      <w:r>
        <w:rPr>
          <w:rFonts w:ascii="Public Sans" w:hAnsi="Public Sans"/>
          <w:sz w:val="21"/>
        </w:rPr>
        <w:t>A document that is not final carries its state across it in large faint red letters. A QR code sits beside what it opens, with the words under it for anyone without a phone.</w:t>
      </w:r>
    </w:p>
    <w:p>
      <w:pPr>
        <w:pStyle w:val="ListBullet"/>
        <w:spacing w:after="160"/>
      </w:pPr>
      <w:r>
        <w:rPr>
          <w:rFonts w:ascii="Public Sans" w:hAnsi="Public Sans"/>
          <w:sz w:val="21"/>
        </w:rPr>
        <w:t>In Arabic the sheet mirrors; names, plates, addresses and amounts stay in their own direction inside the Arabic text.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Rendering the PDF from the printed page means one layout to keep right, in every language, and a file that is always the paper.</w:t>
      </w:r>
    </w:p>
    <w:p>
      <w:pPr>
        <w:jc w:val="center"/>
      </w:pPr>
      <w:r>
        <w:drawing>
          <wp:inline xmlns:a="http://schemas.openxmlformats.org/drawingml/2006/main" xmlns:pic="http://schemas.openxmlformats.org/drawingml/2006/picture">
            <wp:extent cx="5903999" cy="3689999"/>
            <wp:docPr id="48" name="Picture 48"/>
            <wp:cNvGraphicFramePr>
              <a:graphicFrameLocks noChangeAspect="1"/>
            </wp:cNvGraphicFramePr>
            <a:graphic>
              <a:graphicData uri="http://schemas.openxmlformats.org/drawingml/2006/picture">
                <pic:pic>
                  <pic:nvPicPr>
                    <pic:cNvPr id="0" name="print-work-order.png"/>
                    <pic:cNvPicPr/>
                  </pic:nvPicPr>
                  <pic:blipFill>
                    <a:blip r:embed="rId4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work order.</w:t>
      </w:r>
    </w:p>
    <w:p>
      <w:pPr>
        <w:jc w:val="center"/>
      </w:pPr>
      <w:r>
        <w:drawing>
          <wp:inline xmlns:a="http://schemas.openxmlformats.org/drawingml/2006/main" xmlns:pic="http://schemas.openxmlformats.org/drawingml/2006/picture">
            <wp:extent cx="5903999" cy="5845574"/>
            <wp:docPr id="49" name="Picture 49"/>
            <wp:cNvGraphicFramePr>
              <a:graphicFrameLocks noChangeAspect="1"/>
            </wp:cNvGraphicFramePr>
            <a:graphic>
              <a:graphicData uri="http://schemas.openxmlformats.org/drawingml/2006/picture">
                <pic:pic>
                  <pic:nvPicPr>
                    <pic:cNvPr id="0" name="print-inspection-ar.png"/>
                    <pic:cNvPicPr/>
                  </pic:nvPicPr>
                  <pic:blipFill>
                    <a:blip r:embed="rId47"/>
                    <a:stretch>
                      <a:fillRect/>
                    </a:stretch>
                  </pic:blipFill>
                  <pic:spPr>
                    <a:xfrm>
                      <a:off x="0" y="0"/>
                      <a:ext cx="5903999" cy="5845574"/>
                    </a:xfrm>
                    <a:prstGeom prst="rect"/>
                  </pic:spPr>
                </pic:pic>
              </a:graphicData>
            </a:graphic>
          </wp:inline>
        </w:drawing>
      </w:r>
    </w:p>
    <w:p>
      <w:pPr>
        <w:spacing w:after="240"/>
        <w:jc w:val="center"/>
      </w:pPr>
      <w:r>
        <w:rPr>
          <w:rFonts w:ascii="Public Sans" w:hAnsi="Public Sans"/>
          <w:b w:val="0"/>
          <w:i/>
          <w:color w:val="6B7577"/>
          <w:sz w:val="18"/>
        </w:rPr>
        <w:t>An inspection report in Arabic.</w:t>
      </w:r>
    </w:p>
    <w:p>
      <w:pPr>
        <w:spacing w:after="280"/>
      </w:pPr>
      <w:r>
        <w:rPr>
          <w:rFonts w:ascii="Public Sans" w:hAnsi="Public Sans"/>
          <w:b w:val="0"/>
          <w:i w:val="0"/>
          <w:color w:val="6B7577"/>
          <w:sz w:val="17"/>
        </w:rPr>
        <w:t>Source: docs/02-design/05-security-model.md, section 7.6</w:t>
      </w:r>
    </w:p>
    <w:p>
      <w:pPr>
        <w:pBdr>
          <w:bottom w:val="single" w:sz="6" w:space="1" w:color="D9B36C"/>
        </w:pBdr>
        <w:spacing w:after="80"/>
      </w:pPr>
    </w:p>
    <w:p>
      <w:pPr>
        <w:pStyle w:val="Heading2"/>
      </w:pPr>
      <w:r>
        <w:t>Providers behind seams</w:t>
      </w:r>
    </w:p>
    <w:p>
      <w:pPr>
        <w:spacing w:after="120"/>
      </w:pPr>
      <w:r>
        <w:rPr>
          <w:rFonts w:ascii="Public Sans" w:hAnsi="Public Sans"/>
          <w:b w:val="0"/>
          <w:i/>
          <w:color w:val="6B7577"/>
          <w:sz w:val="19"/>
        </w:rPr>
        <w:t>Phase 43,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should not type a make off a windscreen, nor every vehicle a part fits, nor re-key a pay period into payroll software. What answers those questions comes from outside, so what the screens show is the answer and who gave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Reading a VIN fills the form and says who read it; what it could not tell is left blank, with a line saying to type it from the car.</w:t>
      </w:r>
    </w:p>
    <w:p>
      <w:pPr>
        <w:pStyle w:val="ListBullet"/>
        <w:spacing w:after="60"/>
      </w:pPr>
      <w:r>
        <w:rPr>
          <w:rFonts w:ascii="Public Sans" w:hAnsi="Public Sans"/>
          <w:sz w:val="21"/>
        </w:rPr>
        <w:t>A fitment row says whether a catalogue or a person put it there, and a fetch reports what was added, held, taken back and left alone.</w:t>
      </w:r>
    </w:p>
    <w:p>
      <w:pPr>
        <w:pStyle w:val="ListBullet"/>
        <w:spacing w:after="60"/>
      </w:pPr>
      <w:r>
        <w:rPr>
          <w:rFonts w:ascii="Public Sans" w:hAnsi="Public Sans"/>
          <w:sz w:val="21"/>
        </w:rPr>
        <w:t>The payroll page carries the bonuses and deductions under the period they belong to, the overtime multiplier beside the file the workshop hands over, and each file shape described in a line.</w:t>
      </w:r>
    </w:p>
    <w:p>
      <w:pPr>
        <w:pStyle w:val="ListBullet"/>
        <w:spacing w:after="160"/>
      </w:pPr>
      <w:r>
        <w:rPr>
          <w:rFonts w:ascii="Public Sans" w:hAnsi="Public Sans"/>
          <w:sz w:val="21"/>
        </w:rPr>
        <w:t>The customer's thank-you page, after five out of five, becomes one button to write it on Google.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seam has an implementation that needs nobody else, so a fresh install answers the same questions with less detail rather than with an error.</w:t>
      </w:r>
    </w:p>
    <w:p>
      <w:pPr>
        <w:jc w:val="center"/>
      </w:pPr>
      <w:r>
        <w:drawing>
          <wp:inline xmlns:a="http://schemas.openxmlformats.org/drawingml/2006/main" xmlns:pic="http://schemas.openxmlformats.org/drawingml/2006/picture">
            <wp:extent cx="5903999" cy="3689999"/>
            <wp:docPr id="50" name="Picture 50"/>
            <wp:cNvGraphicFramePr>
              <a:graphicFrameLocks noChangeAspect="1"/>
            </wp:cNvGraphicFramePr>
            <a:graphic>
              <a:graphicData uri="http://schemas.openxmlformats.org/drawingml/2006/picture">
                <pic:pic>
                  <pic:nvPicPr>
                    <pic:cNvPr id="0" name="vin-decode.png"/>
                    <pic:cNvPicPr/>
                  </pic:nvPicPr>
                  <pic:blipFill>
                    <a:blip r:embed="rId4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VIN read into the form.</w:t>
      </w:r>
    </w:p>
    <w:p>
      <w:pPr>
        <w:jc w:val="center"/>
      </w:pPr>
      <w:r>
        <w:drawing>
          <wp:inline xmlns:a="http://schemas.openxmlformats.org/drawingml/2006/main" xmlns:pic="http://schemas.openxmlformats.org/drawingml/2006/picture">
            <wp:extent cx="5903999" cy="6946424"/>
            <wp:docPr id="51" name="Picture 51"/>
            <wp:cNvGraphicFramePr>
              <a:graphicFrameLocks noChangeAspect="1"/>
            </wp:cNvGraphicFramePr>
            <a:graphic>
              <a:graphicData uri="http://schemas.openxmlformats.org/drawingml/2006/picture">
                <pic:pic>
                  <pic:nvPicPr>
                    <pic:cNvPr id="0" name="payroll.png"/>
                    <pic:cNvPicPr/>
                  </pic:nvPicPr>
                  <pic:blipFill>
                    <a:blip r:embed="rId49"/>
                    <a:stretch>
                      <a:fillRect/>
                    </a:stretch>
                  </pic:blipFill>
                  <pic:spPr>
                    <a:xfrm>
                      <a:off x="0" y="0"/>
                      <a:ext cx="5903999" cy="6946424"/>
                    </a:xfrm>
                    <a:prstGeom prst="rect"/>
                  </pic:spPr>
                </pic:pic>
              </a:graphicData>
            </a:graphic>
          </wp:inline>
        </w:drawing>
      </w:r>
    </w:p>
    <w:p>
      <w:pPr>
        <w:spacing w:after="240"/>
        <w:jc w:val="center"/>
      </w:pPr>
      <w:r>
        <w:rPr>
          <w:rFonts w:ascii="Public Sans" w:hAnsi="Public Sans"/>
          <w:b w:val="0"/>
          <w:i/>
          <w:color w:val="6B7577"/>
          <w:sz w:val="18"/>
        </w:rPr>
        <w:t>Bonuses, deductions and the file.</w:t>
      </w:r>
    </w:p>
    <w:p>
      <w:pPr>
        <w:spacing w:after="280"/>
      </w:pPr>
      <w:r>
        <w:rPr>
          <w:rFonts w:ascii="Public Sans" w:hAnsi="Public Sans"/>
          <w:b w:val="0"/>
          <w:i w:val="0"/>
          <w:color w:val="6B7577"/>
          <w:sz w:val="17"/>
        </w:rPr>
        <w:t>Source: docs/00-product/06-roadmap.md, Phase 43</w:t>
      </w:r>
    </w:p>
    <w:p>
      <w:pPr>
        <w:pBdr>
          <w:bottom w:val="single" w:sz="6" w:space="1" w:color="D9B36C"/>
        </w:pBdr>
        <w:spacing w:after="80"/>
      </w:pPr>
    </w:p>
    <w:p>
      <w:pPr>
        <w:pStyle w:val="Heading2"/>
      </w:pPr>
      <w:r>
        <w:t>A car handed to the person who bought it</w:t>
      </w:r>
    </w:p>
    <w:p>
      <w:pPr>
        <w:spacing w:after="120"/>
      </w:pPr>
      <w:r>
        <w:rPr>
          <w:rFonts w:ascii="Public Sans" w:hAnsi="Public Sans"/>
          <w:b w:val="0"/>
          <w:i/>
          <w:color w:val="6B7577"/>
          <w:sz w:val="19"/>
        </w:rPr>
        <w:t>Phase 44,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car is usually sold on a driveway, and the history is worth something only if it survives that. So the sale is an invitation the buyer accepts rather than a line the seller types, and what the buyer is shown is the car, never the seller.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page, no navigation: the vehicle, its plate, a sentence saying how many owners and how much history, and two buttons.</w:t>
      </w:r>
    </w:p>
    <w:p>
      <w:pPr>
        <w:pStyle w:val="ListBullet"/>
        <w:spacing w:after="60"/>
      </w:pPr>
      <w:r>
        <w:rPr>
          <w:rFonts w:ascii="Public Sans" w:hAnsi="Public Sans"/>
          <w:sz w:val="21"/>
        </w:rPr>
        <w:t>The figures are counts, not names. Nothing on the page identifies the seller, and nothing the seller sees identifies the buyer beyond the name they typed.</w:t>
      </w:r>
    </w:p>
    <w:p>
      <w:pPr>
        <w:pStyle w:val="ListBullet"/>
        <w:spacing w:after="60"/>
      </w:pPr>
      <w:r>
        <w:rPr>
          <w:rFonts w:ascii="Public Sans" w:hAnsi="Public Sans"/>
          <w:sz w:val="21"/>
        </w:rPr>
        <w:t>Accepting asks for a login, because a vehicle handed to nobody in particular is a vehicle nobody can be shown to own.</w:t>
      </w:r>
    </w:p>
    <w:p>
      <w:pPr>
        <w:pStyle w:val="ListBullet"/>
        <w:spacing w:after="160"/>
      </w:pPr>
      <w:r>
        <w:rPr>
          <w:rFonts w:ascii="Public Sans" w:hAnsi="Public Sans"/>
          <w:sz w:val="21"/>
        </w:rPr>
        <w:t>At the workshop the same form does either: record the sale on the workshop's word, or invite the buyer and wait for theirs.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moves until the buyer accepts, so the worst case is an invitation that lapses rather than a car taken off somebody's account by a stranger.</w:t>
      </w:r>
    </w:p>
    <w:p>
      <w:pPr>
        <w:jc w:val="center"/>
      </w:pPr>
      <w:r>
        <w:drawing>
          <wp:inline xmlns:a="http://schemas.openxmlformats.org/drawingml/2006/main" xmlns:pic="http://schemas.openxmlformats.org/drawingml/2006/picture">
            <wp:extent cx="4320000" cy="3037500"/>
            <wp:docPr id="52" name="Picture 52"/>
            <wp:cNvGraphicFramePr>
              <a:graphicFrameLocks noChangeAspect="1"/>
            </wp:cNvGraphicFramePr>
            <a:graphic>
              <a:graphicData uri="http://schemas.openxmlformats.org/drawingml/2006/picture">
                <pic:pic>
                  <pic:nvPicPr>
                    <pic:cNvPr id="0" name="handover.png"/>
                    <pic:cNvPicPr/>
                  </pic:nvPicPr>
                  <pic:blipFill>
                    <a:blip r:embed="rId50"/>
                    <a:stretch>
                      <a:fillRect/>
                    </a:stretch>
                  </pic:blipFill>
                  <pic:spPr>
                    <a:xfrm>
                      <a:off x="0" y="0"/>
                      <a:ext cx="4320000" cy="3037500"/>
                    </a:xfrm>
                    <a:prstGeom prst="rect"/>
                  </pic:spPr>
                </pic:pic>
              </a:graphicData>
            </a:graphic>
          </wp:inline>
        </w:drawing>
      </w:r>
    </w:p>
    <w:p>
      <w:pPr>
        <w:spacing w:after="240"/>
        <w:jc w:val="center"/>
      </w:pPr>
      <w:r>
        <w:rPr>
          <w:rFonts w:ascii="Public Sans" w:hAnsi="Public Sans"/>
          <w:b w:val="0"/>
          <w:i/>
          <w:color w:val="6B7577"/>
          <w:sz w:val="18"/>
        </w:rPr>
        <w:t>What the buyer is shown.</w:t>
      </w:r>
    </w:p>
    <w:p>
      <w:pPr>
        <w:jc w:val="center"/>
      </w:pPr>
      <w:r>
        <w:drawing>
          <wp:inline xmlns:a="http://schemas.openxmlformats.org/drawingml/2006/main" xmlns:pic="http://schemas.openxmlformats.org/drawingml/2006/picture">
            <wp:extent cx="5903999" cy="9547873"/>
            <wp:docPr id="53" name="Picture 53"/>
            <wp:cNvGraphicFramePr>
              <a:graphicFrameLocks noChangeAspect="1"/>
            </wp:cNvGraphicFramePr>
            <a:graphic>
              <a:graphicData uri="http://schemas.openxmlformats.org/drawingml/2006/picture">
                <pic:pic>
                  <pic:nvPicPr>
                    <pic:cNvPr id="0" name="warranty-cost.png"/>
                    <pic:cNvPicPr/>
                  </pic:nvPicPr>
                  <pic:blipFill>
                    <a:blip r:embed="rId51"/>
                    <a:stretch>
                      <a:fillRect/>
                    </a:stretch>
                  </pic:blipFill>
                  <pic:spPr>
                    <a:xfrm>
                      <a:off x="0" y="0"/>
                      <a:ext cx="5903999" cy="9547873"/>
                    </a:xfrm>
                    <a:prstGeom prst="rect"/>
                  </pic:spPr>
                </pic:pic>
              </a:graphicData>
            </a:graphic>
          </wp:inline>
        </w:drawing>
      </w:r>
    </w:p>
    <w:p>
      <w:pPr>
        <w:spacing w:after="240"/>
        <w:jc w:val="center"/>
      </w:pPr>
      <w:r>
        <w:rPr>
          <w:rFonts w:ascii="Public Sans" w:hAnsi="Public Sans"/>
          <w:b w:val="0"/>
          <w:i/>
          <w:color w:val="6B7577"/>
          <w:sz w:val="18"/>
        </w:rPr>
        <w:t>What warranty costs.</w:t>
      </w:r>
    </w:p>
    <w:p>
      <w:pPr>
        <w:spacing w:after="280"/>
      </w:pPr>
      <w:r>
        <w:rPr>
          <w:rFonts w:ascii="Public Sans" w:hAnsi="Public Sans"/>
          <w:b w:val="0"/>
          <w:i w:val="0"/>
          <w:color w:val="6B7577"/>
          <w:sz w:val="17"/>
        </w:rPr>
        <w:t>Source: docs/02-design/05-security-model.md, section 7.8</w:t>
      </w:r>
    </w:p>
    <w:p>
      <w:pPr>
        <w:pBdr>
          <w:bottom w:val="single" w:sz="6" w:space="1" w:color="D9B36C"/>
        </w:pBdr>
        <w:spacing w:after="80"/>
      </w:pPr>
    </w:p>
    <w:p>
      <w:pPr>
        <w:pStyle w:val="Heading2"/>
      </w:pPr>
      <w:r>
        <w:t>The first day</w:t>
      </w:r>
    </w:p>
    <w:p>
      <w:pPr>
        <w:spacing w:after="120"/>
      </w:pPr>
      <w:r>
        <w:rPr>
          <w:rFonts w:ascii="Public Sans" w:hAnsi="Public Sans"/>
          <w:b w:val="0"/>
          <w:i/>
          <w:color w:val="6B7577"/>
          <w:sz w:val="19"/>
        </w:rPr>
        <w:t>Phase 45,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signs up and has forty screens with nothing in any of them. What it needs is not a tour but three things: what to do next, somewhere to see the product full, and an answer to a question without leaving the screen.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setup list is read from the workshop's own data, so nothing can be ticked off without being true, and each step says why it matters rather than only what it is.</w:t>
      </w:r>
    </w:p>
    <w:p>
      <w:pPr>
        <w:pStyle w:val="ListBullet"/>
        <w:spacing w:after="60"/>
      </w:pPr>
      <w:r>
        <w:rPr>
          <w:rFonts w:ascii="Public Sans" w:hAnsi="Public Sans"/>
          <w:sz w:val="21"/>
        </w:rPr>
        <w:t>The three steps that block invoicing are marked; the rest are not urgent and say so.</w:t>
      </w:r>
    </w:p>
    <w:p>
      <w:pPr>
        <w:pStyle w:val="ListBullet"/>
        <w:spacing w:after="60"/>
      </w:pPr>
      <w:r>
        <w:rPr>
          <w:rFonts w:ascii="Public Sans" w:hAnsi="Public Sans"/>
          <w:sz w:val="21"/>
        </w:rPr>
        <w:t>The demonstration workshop sits beside the real one and is marked on every screen inside it, in the one colour the product uses for warnings.</w:t>
      </w:r>
    </w:p>
    <w:p>
      <w:pPr>
        <w:pStyle w:val="ListBullet"/>
        <w:spacing w:after="160"/>
      </w:pPr>
      <w:r>
        <w:rPr>
          <w:rFonts w:ascii="Public Sans" w:hAnsi="Public Sans"/>
          <w:sz w:val="21"/>
        </w:rPr>
        <w:t>The help is twelve cards, each a title, one line and a link to the screen it is about. Nothing is longer than two paragraphs.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Everything here disappears when it is no longer needed: the list when it is finished, the demonstration when it is removed, the help until somebody searches for it.</w:t>
      </w:r>
    </w:p>
    <w:p>
      <w:pPr>
        <w:jc w:val="center"/>
      </w:pPr>
      <w:r>
        <w:drawing>
          <wp:inline xmlns:a="http://schemas.openxmlformats.org/drawingml/2006/main" xmlns:pic="http://schemas.openxmlformats.org/drawingml/2006/picture">
            <wp:extent cx="5903999" cy="5190599"/>
            <wp:docPr id="54" name="Picture 54"/>
            <wp:cNvGraphicFramePr>
              <a:graphicFrameLocks noChangeAspect="1"/>
            </wp:cNvGraphicFramePr>
            <a:graphic>
              <a:graphicData uri="http://schemas.openxmlformats.org/drawingml/2006/picture">
                <pic:pic>
                  <pic:nvPicPr>
                    <pic:cNvPr id="0" name="start.png"/>
                    <pic:cNvPicPr/>
                  </pic:nvPicPr>
                  <pic:blipFill>
                    <a:blip r:embed="rId52"/>
                    <a:stretch>
                      <a:fillRect/>
                    </a:stretch>
                  </pic:blipFill>
                  <pic:spPr>
                    <a:xfrm>
                      <a:off x="0" y="0"/>
                      <a:ext cx="5903999" cy="5190599"/>
                    </a:xfrm>
                    <a:prstGeom prst="rect"/>
                  </pic:spPr>
                </pic:pic>
              </a:graphicData>
            </a:graphic>
          </wp:inline>
        </w:drawing>
      </w:r>
    </w:p>
    <w:p>
      <w:pPr>
        <w:spacing w:after="240"/>
        <w:jc w:val="center"/>
      </w:pPr>
      <w:r>
        <w:rPr>
          <w:rFonts w:ascii="Public Sans" w:hAnsi="Public Sans"/>
          <w:b w:val="0"/>
          <w:i/>
          <w:color w:val="6B7577"/>
          <w:sz w:val="18"/>
        </w:rPr>
        <w:t>What to do next.</w:t>
      </w:r>
    </w:p>
    <w:p>
      <w:pPr>
        <w:jc w:val="center"/>
      </w:pPr>
      <w:r>
        <w:drawing>
          <wp:inline xmlns:a="http://schemas.openxmlformats.org/drawingml/2006/main" xmlns:pic="http://schemas.openxmlformats.org/drawingml/2006/picture">
            <wp:extent cx="5903999" cy="5165999"/>
            <wp:docPr id="55" name="Picture 55"/>
            <wp:cNvGraphicFramePr>
              <a:graphicFrameLocks noChangeAspect="1"/>
            </wp:cNvGraphicFramePr>
            <a:graphic>
              <a:graphicData uri="http://schemas.openxmlformats.org/drawingml/2006/picture">
                <pic:pic>
                  <pic:nvPicPr>
                    <pic:cNvPr id="0" name="help.png"/>
                    <pic:cNvPicPr/>
                  </pic:nvPicPr>
                  <pic:blipFill>
                    <a:blip r:embed="rId53"/>
                    <a:stretch>
                      <a:fillRect/>
                    </a:stretch>
                  </pic:blipFill>
                  <pic:spPr>
                    <a:xfrm>
                      <a:off x="0" y="0"/>
                      <a:ext cx="5903999" cy="5165999"/>
                    </a:xfrm>
                    <a:prstGeom prst="rect"/>
                  </pic:spPr>
                </pic:pic>
              </a:graphicData>
            </a:graphic>
          </wp:inline>
        </w:drawing>
      </w:r>
    </w:p>
    <w:p>
      <w:pPr>
        <w:spacing w:after="240"/>
        <w:jc w:val="center"/>
      </w:pPr>
      <w:r>
        <w:rPr>
          <w:rFonts w:ascii="Public Sans" w:hAnsi="Public Sans"/>
          <w:b w:val="0"/>
          <w:i/>
          <w:color w:val="6B7577"/>
          <w:sz w:val="18"/>
        </w:rPr>
        <w:t>Twelve short pages.</w:t>
      </w:r>
    </w:p>
    <w:p>
      <w:pPr>
        <w:spacing w:after="280"/>
      </w:pPr>
      <w:r>
        <w:rPr>
          <w:rFonts w:ascii="Public Sans" w:hAnsi="Public Sans"/>
          <w:b w:val="0"/>
          <w:i w:val="0"/>
          <w:color w:val="6B7577"/>
          <w:sz w:val="17"/>
        </w:rPr>
        <w:t>Source: docs/00-product/06-roadmap.md, Phase 45</w:t>
      </w:r>
    </w:p>
    <w:p>
      <w:pPr>
        <w:pBdr>
          <w:bottom w:val="single" w:sz="6" w:space="1" w:color="D9B36C"/>
        </w:pBdr>
        <w:spacing w:after="80"/>
      </w:pPr>
    </w:p>
    <w:p>
      <w:pPr>
        <w:pStyle w:val="Heading2"/>
      </w:pPr>
      <w:r>
        <w:t>On every screen</w:t>
      </w:r>
    </w:p>
    <w:p>
      <w:pPr>
        <w:spacing w:after="120"/>
      </w:pPr>
      <w:r>
        <w:rPr>
          <w:rFonts w:ascii="Public Sans" w:hAnsi="Public Sans"/>
          <w:b w:val="0"/>
          <w:i/>
          <w:color w:val="6B7577"/>
          <w:sz w:val="19"/>
        </w:rPr>
        <w:t>Measured from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reads this standing next to a car with a part in the other hand. Every screen is used on a phone, so every screen is measured on one rather than assumed to be fine.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is wider than the screen. A table may scroll inside its own box, and says so with a shadow at the edge that has more behind it, but the page itself never slides sideways.</w:t>
      </w:r>
    </w:p>
    <w:p>
      <w:pPr>
        <w:pStyle w:val="ListBullet"/>
        <w:spacing w:after="60"/>
      </w:pPr>
      <w:r>
        <w:rPr>
          <w:rFonts w:ascii="Public Sans" w:hAnsi="Public Sans"/>
          <w:sz w:val="21"/>
        </w:rPr>
        <w:t>Every control the product draws is at least forty pixels through the middle where a thumb is doing the pressing, and every link that stands on its own line at least twenty-four, which is what WCAG 2.2 asks of any target.</w:t>
      </w:r>
    </w:p>
    <w:p>
      <w:pPr>
        <w:pStyle w:val="ListBullet"/>
        <w:spacing w:after="60"/>
      </w:pPr>
      <w:r>
        <w:rPr>
          <w:rFonts w:ascii="Public Sans" w:hAnsi="Public Sans"/>
          <w:sz w:val="21"/>
        </w:rPr>
        <w:t>Nothing is smaller than eleven pixels, and a row of tiles that ends odd fills the row rather than leaving a hole.</w:t>
      </w:r>
    </w:p>
    <w:p>
      <w:pPr>
        <w:pStyle w:val="ListBullet"/>
        <w:spacing w:after="160"/>
      </w:pPr>
      <w:r>
        <w:rPr>
          <w:rFonts w:ascii="Public Sans" w:hAnsi="Public Sans"/>
          <w:sz w:val="21"/>
        </w:rPr>
        <w:t>The same screens are measured right to left, because a layout that only holds together in one direction holds together by accident.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verify-screens.ts measures every screen on a phone and the main ones at seven sizes from 320 to 1680 pixels, in both directions, and fails on anything that sticks out, is too small to press or too small to read, so this is a check rather than a claim.</w:t>
      </w:r>
    </w:p>
    <w:p>
      <w:pPr>
        <w:jc w:val="center"/>
      </w:pPr>
      <w:r>
        <w:drawing>
          <wp:inline xmlns:a="http://schemas.openxmlformats.org/drawingml/2006/main" xmlns:pic="http://schemas.openxmlformats.org/drawingml/2006/picture">
            <wp:extent cx="2736000" cy="5920984"/>
            <wp:docPr id="56" name="Picture 56"/>
            <wp:cNvGraphicFramePr>
              <a:graphicFrameLocks noChangeAspect="1"/>
            </wp:cNvGraphicFramePr>
            <a:graphic>
              <a:graphicData uri="http://schemas.openxmlformats.org/drawingml/2006/picture">
                <pic:pic>
                  <pic:nvPicPr>
                    <pic:cNvPr id="0" name="phone-dashboard.png"/>
                    <pic:cNvPicPr/>
                  </pic:nvPicPr>
                  <pic:blipFill>
                    <a:blip r:embed="rId54"/>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dashboard on a phone.</w:t>
      </w:r>
    </w:p>
    <w:p>
      <w:pPr>
        <w:jc w:val="center"/>
      </w:pPr>
      <w:r>
        <w:drawing>
          <wp:inline xmlns:a="http://schemas.openxmlformats.org/drawingml/2006/main" xmlns:pic="http://schemas.openxmlformats.org/drawingml/2006/picture">
            <wp:extent cx="2736000" cy="5920984"/>
            <wp:docPr id="57" name="Picture 57"/>
            <wp:cNvGraphicFramePr>
              <a:graphicFrameLocks noChangeAspect="1"/>
            </wp:cNvGraphicFramePr>
            <a:graphic>
              <a:graphicData uri="http://schemas.openxmlformats.org/drawingml/2006/picture">
                <pic:pic>
                  <pic:nvPicPr>
                    <pic:cNvPr id="0" name="phone-dashboard-ar.png"/>
                    <pic:cNvPicPr/>
                  </pic:nvPicPr>
                  <pic:blipFill>
                    <a:blip r:embed="rId55"/>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same, in Arabic.</w:t>
      </w:r>
    </w:p>
    <w:p>
      <w:pPr>
        <w:spacing w:after="280"/>
      </w:pPr>
      <w:r>
        <w:rPr>
          <w:rFonts w:ascii="Public Sans" w:hAnsi="Public Sans"/>
          <w:b w:val="0"/>
          <w:i w:val="0"/>
          <w:color w:val="6B7577"/>
          <w:sz w:val="17"/>
        </w:rPr>
        <w:t>Source: infra/scripts/verify-screens.ts</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58" name="Picture 58"/>
            <wp:cNvGraphicFramePr>
              <a:graphicFrameLocks noChangeAspect="1"/>
            </wp:cNvGraphicFramePr>
            <a:graphic>
              <a:graphicData uri="http://schemas.openxmlformats.org/drawingml/2006/picture">
                <pic:pic>
                  <pic:nvPicPr>
                    <pic:cNvPr id="0" name="counter.png"/>
                    <pic:cNvPicPr/>
                  </pic:nvPicPr>
                  <pic:blipFill>
                    <a:blip r:embed="rId5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59" name="Picture 59"/>
            <wp:cNvGraphicFramePr>
              <a:graphicFrameLocks noChangeAspect="1"/>
            </wp:cNvGraphicFramePr>
            <a:graphic>
              <a:graphicData uri="http://schemas.openxmlformats.org/drawingml/2006/picture">
                <pic:pic>
                  <pic:nvPicPr>
                    <pic:cNvPr id="0" name="gift-cards.png"/>
                    <pic:cNvPicPr/>
                  </pic:nvPicPr>
                  <pic:blipFill>
                    <a:blip r:embed="rId5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8714447"/>
            <wp:docPr id="60" name="Picture 60"/>
            <wp:cNvGraphicFramePr>
              <a:graphicFrameLocks noChangeAspect="1"/>
            </wp:cNvGraphicFramePr>
            <a:graphic>
              <a:graphicData uri="http://schemas.openxmlformats.org/drawingml/2006/picture">
                <pic:pic>
                  <pic:nvPicPr>
                    <pic:cNvPr id="0" name="customer.png"/>
                    <pic:cNvPicPr/>
                  </pic:nvPicPr>
                  <pic:blipFill>
                    <a:blip r:embed="rId58"/>
                    <a:stretch>
                      <a:fillRect/>
                    </a:stretch>
                  </pic:blipFill>
                  <pic:spPr>
                    <a:xfrm>
                      <a:off x="0" y="0"/>
                      <a:ext cx="5903999" cy="18714447"/>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19252572"/>
            <wp:docPr id="61" name="Picture 61"/>
            <wp:cNvGraphicFramePr>
              <a:graphicFrameLocks noChangeAspect="1"/>
            </wp:cNvGraphicFramePr>
            <a:graphic>
              <a:graphicData uri="http://schemas.openxmlformats.org/drawingml/2006/picture">
                <pic:pic>
                  <pic:nvPicPr>
                    <pic:cNvPr id="0" name="passport.png"/>
                    <pic:cNvPicPr/>
                  </pic:nvPicPr>
                  <pic:blipFill>
                    <a:blip r:embed="rId59"/>
                    <a:stretch>
                      <a:fillRect/>
                    </a:stretch>
                  </pic:blipFill>
                  <pic:spPr>
                    <a:xfrm>
                      <a:off x="0" y="0"/>
                      <a:ext cx="5903999" cy="19252572"/>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62" name="Picture 62"/>
            <wp:cNvGraphicFramePr>
              <a:graphicFrameLocks noChangeAspect="1"/>
            </wp:cNvGraphicFramePr>
            <a:graphic>
              <a:graphicData uri="http://schemas.openxmlformats.org/drawingml/2006/picture">
                <pic:pic>
                  <pic:nvPicPr>
                    <pic:cNvPr id="0" name="vehicle.png"/>
                    <pic:cNvPicPr/>
                  </pic:nvPicPr>
                  <pic:blipFill>
                    <a:blip r:embed="rId6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63" name="Picture 63"/>
            <wp:cNvGraphicFramePr>
              <a:graphicFrameLocks noChangeAspect="1"/>
            </wp:cNvGraphicFramePr>
            <a:graphic>
              <a:graphicData uri="http://schemas.openxmlformats.org/drawingml/2006/picture">
                <pic:pic>
                  <pic:nvPicPr>
                    <pic:cNvPr id="0" name="passports.png"/>
                    <pic:cNvPicPr/>
                  </pic:nvPicPr>
                  <pic:blipFill>
                    <a:blip r:embed="rId6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11488615"/>
            <wp:docPr id="64" name="Picture 64"/>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65" name="Picture 65"/>
            <wp:cNvGraphicFramePr>
              <a:graphicFrameLocks noChangeAspect="1"/>
            </wp:cNvGraphicFramePr>
            <a:graphic>
              <a:graphicData uri="http://schemas.openxmlformats.org/drawingml/2006/picture">
                <pic:pic>
                  <pic:nvPicPr>
                    <pic:cNvPr id="0" name="portal-passports.png"/>
                    <pic:cNvPicPr/>
                  </pic:nvPicPr>
                  <pic:blipFill>
                    <a:blip r:embed="rId62"/>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49155077"/>
            <wp:docPr id="66" name="Picture 66"/>
            <wp:cNvGraphicFramePr>
              <a:graphicFrameLocks noChangeAspect="1"/>
            </wp:cNvGraphicFramePr>
            <a:graphic>
              <a:graphicData uri="http://schemas.openxmlformats.org/drawingml/2006/picture">
                <pic:pic>
                  <pic:nvPicPr>
                    <pic:cNvPr id="0" name="portal-passport.png"/>
                    <pic:cNvPicPr/>
                  </pic:nvPicPr>
                  <pic:blipFill>
                    <a:blip r:embed="rId63"/>
                    <a:stretch>
                      <a:fillRect/>
                    </a:stretch>
                  </pic:blipFill>
                  <pic:spPr>
                    <a:xfrm>
                      <a:off x="0" y="0"/>
                      <a:ext cx="2520000" cy="49155077"/>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67" name="Picture 67"/>
            <wp:cNvGraphicFramePr>
              <a:graphicFrameLocks noChangeAspect="1"/>
            </wp:cNvGraphicFramePr>
            <a:graphic>
              <a:graphicData uri="http://schemas.openxmlformats.org/drawingml/2006/picture">
                <pic:pic>
                  <pic:nvPicPr>
                    <pic:cNvPr id="0" name="reputation.png"/>
                    <pic:cNvPicPr/>
                  </pic:nvPicPr>
                  <pic:blipFill>
                    <a:blip r:embed="rId6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68" name="Picture 68"/>
            <wp:cNvGraphicFramePr>
              <a:graphicFrameLocks noChangeAspect="1"/>
            </wp:cNvGraphicFramePr>
            <a:graphic>
              <a:graphicData uri="http://schemas.openxmlformats.org/drawingml/2006/picture">
                <pic:pic>
                  <pic:nvPicPr>
                    <pic:cNvPr id="0" name="ask.png"/>
                    <pic:cNvPicPr/>
                  </pic:nvPicPr>
                  <pic:blipFill>
                    <a:blip r:embed="rId6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69" name="Picture 69"/>
            <wp:cNvGraphicFramePr>
              <a:graphicFrameLocks noChangeAspect="1"/>
            </wp:cNvGraphicFramePr>
            <a:graphic>
              <a:graphicData uri="http://schemas.openxmlformats.org/drawingml/2006/picture">
                <pic:pic>
                  <pic:nvPicPr>
                    <pic:cNvPr id="0" name="people.png"/>
                    <pic:cNvPicPr/>
                  </pic:nvPicPr>
                  <pic:blipFill>
                    <a:blip r:embed="rId6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70" name="Picture 70"/>
            <wp:cNvGraphicFramePr>
              <a:graphicFrameLocks noChangeAspect="1"/>
            </wp:cNvGraphicFramePr>
            <a:graphic>
              <a:graphicData uri="http://schemas.openxmlformats.org/drawingml/2006/picture">
                <pic:pic>
                  <pic:nvPicPr>
                    <pic:cNvPr id="0" name="business.png"/>
                    <pic:cNvPicPr/>
                  </pic:nvPicPr>
                  <pic:blipFill>
                    <a:blip r:embed="rId6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71" name="Picture 71"/>
            <wp:cNvGraphicFramePr>
              <a:graphicFrameLocks noChangeAspect="1"/>
            </wp:cNvGraphicFramePr>
            <a:graphic>
              <a:graphicData uri="http://schemas.openxmlformats.org/drawingml/2006/picture">
                <pic:pic>
                  <pic:nvPicPr>
                    <pic:cNvPr id="0" name="plan.png"/>
                    <pic:cNvPicPr/>
                  </pic:nvPicPr>
                  <pic:blipFill>
                    <a:blip r:embed="rId6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72" name="Picture 72"/>
            <wp:cNvGraphicFramePr>
              <a:graphicFrameLocks noChangeAspect="1"/>
            </wp:cNvGraphicFramePr>
            <a:graphic>
              <a:graphicData uri="http://schemas.openxmlformats.org/drawingml/2006/picture">
                <pic:pic>
                  <pic:nvPicPr>
                    <pic:cNvPr id="0" name="dashboard-dark.png"/>
                    <pic:cNvPicPr/>
                  </pic:nvPicPr>
                  <pic:blipFill>
                    <a:blip r:embed="rId6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73" name="Picture 73"/>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2"/>
      </w:pPr>
      <w:r>
        <w:t>A code a customer arrives holding</w:t>
      </w:r>
    </w:p>
    <w:p>
      <w:pPr>
        <w:spacing w:after="120"/>
      </w:pPr>
      <w:r>
        <w:rPr>
          <w:rFonts w:ascii="Public Sans" w:hAnsi="Public Sans"/>
          <w:b w:val="0"/>
          <w:i/>
          <w:color w:val="6B7577"/>
          <w:sz w:val="19"/>
        </w:rPr>
        <w:t>Phase 45.5,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coupon looks like a number and is really a set of promises: when it starts, when it ends, what the bill has to reach, how many times it may be used at all and how many times by one person. All of them are written down where the person at the counter can see them, because a code whose rules live in somebody's head is a code that gets argued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refusals are the feature: "That code ran out on 30 June" rather than "invalid code".</w:t>
      </w:r>
    </w:p>
    <w:p>
      <w:pPr>
        <w:pStyle w:val="ListBullet"/>
        <w:spacing w:after="60"/>
      </w:pPr>
      <w:r>
        <w:rPr>
          <w:rFonts w:ascii="Public Sans" w:hAnsi="Public Sans"/>
          <w:sz w:val="21"/>
        </w:rPr>
        <w:t>What each code gave away sits beside what was billed on the visits it was used on.</w:t>
      </w:r>
    </w:p>
    <w:p>
      <w:pPr>
        <w:pStyle w:val="ListBullet"/>
        <w:spacing w:after="160"/>
      </w:pPr>
      <w:r>
        <w:rPr>
          <w:rFonts w:ascii="Public Sans" w:hAnsi="Public Sans"/>
          <w:sz w:val="21"/>
        </w:rPr>
        <w:t>A coupon never rewrites a bill. It settles like points, and lands in what the offers cost.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discount booked as revenue gives a workshop accounts that say it is doing better than it is. Putting it in expenses is both truthful and the only way to know whether an offer paid for itself.</w:t>
      </w:r>
    </w:p>
    <w:p>
      <w:pPr>
        <w:jc w:val="center"/>
      </w:pPr>
      <w:r>
        <w:drawing>
          <wp:inline xmlns:a="http://schemas.openxmlformats.org/drawingml/2006/main" xmlns:pic="http://schemas.openxmlformats.org/drawingml/2006/picture">
            <wp:extent cx="5903999" cy="6171524"/>
            <wp:docPr id="74" name="Picture 74"/>
            <wp:cNvGraphicFramePr>
              <a:graphicFrameLocks noChangeAspect="1"/>
            </wp:cNvGraphicFramePr>
            <a:graphic>
              <a:graphicData uri="http://schemas.openxmlformats.org/drawingml/2006/picture">
                <pic:pic>
                  <pic:nvPicPr>
                    <pic:cNvPr id="0" name="coupons.png"/>
                    <pic:cNvPicPr/>
                  </pic:nvPicPr>
                  <pic:blipFill>
                    <a:blip r:embed="rId71"/>
                    <a:stretch>
                      <a:fillRect/>
                    </a:stretch>
                  </pic:blipFill>
                  <pic:spPr>
                    <a:xfrm>
                      <a:off x="0" y="0"/>
                      <a:ext cx="5903999" cy="6171524"/>
                    </a:xfrm>
                    <a:prstGeom prst="rect"/>
                  </pic:spPr>
                </pic:pic>
              </a:graphicData>
            </a:graphic>
          </wp:inline>
        </w:drawing>
      </w:r>
    </w:p>
    <w:p>
      <w:pPr>
        <w:spacing w:after="240"/>
        <w:jc w:val="center"/>
      </w:pPr>
      <w:r>
        <w:rPr>
          <w:rFonts w:ascii="Public Sans" w:hAnsi="Public Sans"/>
          <w:b w:val="0"/>
          <w:i/>
          <w:color w:val="6B7577"/>
          <w:sz w:val="18"/>
        </w:rPr>
        <w:t>Codes, what they promise, and what they have cost.</w:t>
      </w:r>
    </w:p>
    <w:p>
      <w:pPr>
        <w:spacing w:after="280"/>
      </w:pPr>
      <w:r>
        <w:rPr>
          <w:rFonts w:ascii="Public Sans" w:hAnsi="Public Sans"/>
          <w:b w:val="0"/>
          <w:i w:val="0"/>
          <w:color w:val="6B7577"/>
          <w:sz w:val="17"/>
        </w:rPr>
        <w:t>Source: docs/02-design/07-accounting-model.md, section 3.19</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Pr>
        <w:pStyle w:val="ListBullet"/>
        <w:spacing w:after="80"/>
      </w:pPr>
      <w:r>
        <w:rPr>
          <w:rFonts w:ascii="Public Sans" w:hAnsi="Public Sans"/>
          <w:sz w:val="21"/>
        </w:rPr>
        <w:t>It never does a thing twice because it was asked twice. Every write that moves money or stock says what a repeat does to it, and the build fails for one that does not.</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