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17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126</w:t>
            </w:r>
          </w:p>
        </w:tc>
      </w:tr>
      <w:tr>
        <w:tc>
          <w:tcPr>
            <w:tcW w:type="dxa" w:w="4759"/>
          </w:tcPr>
          <w:p>
            <w:r>
              <w:t>Database tables</w:t>
            </w:r>
          </w:p>
        </w:tc>
        <w:tc>
          <w:tcPr>
            <w:tcW w:type="dxa" w:w="4759"/>
          </w:tcPr>
          <w:p>
            <w:pPr>
              <w:jc w:val="right"/>
            </w:pPr>
            <w:r>
              <w:t>153</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69</w:t>
            </w:r>
          </w:p>
        </w:tc>
      </w:tr>
      <w:tr>
        <w:tc>
          <w:tcPr>
            <w:tcW w:type="dxa" w:w="4759"/>
          </w:tcPr>
          <w:p>
            <w:r>
              <w:t>Functional requirements</w:t>
            </w:r>
          </w:p>
        </w:tc>
        <w:tc>
          <w:tcPr>
            <w:tcW w:type="dxa" w:w="4759"/>
          </w:tcPr>
          <w:p>
            <w:pPr>
              <w:jc w:val="right"/>
            </w:pPr>
            <w:r>
              <w:t>669</w:t>
            </w:r>
          </w:p>
        </w:tc>
      </w:tr>
      <w:tr>
        <w:tc>
          <w:tcPr>
            <w:tcW w:type="dxa" w:w="4759"/>
          </w:tcPr>
          <w:p>
            <w:r>
              <w:t>Capabilities built</w:t>
            </w:r>
          </w:p>
        </w:tc>
        <w:tc>
          <w:tcPr>
            <w:tcW w:type="dxa" w:w="4759"/>
          </w:tcPr>
          <w:p>
            <w:pPr>
              <w:jc w:val="right"/>
            </w:pPr>
            <w:r>
              <w:t>288 of 290</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