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90</w:t>
            </w:r>
          </w:p>
        </w:tc>
      </w:tr>
      <w:tr>
        <w:tc>
          <w:tcPr>
            <w:tcW w:type="dxa" w:w="4759"/>
          </w:tcPr>
          <w:p>
            <w:r>
              <w:t>Functional requirements</w:t>
            </w:r>
          </w:p>
        </w:tc>
        <w:tc>
          <w:tcPr>
            <w:tcW w:type="dxa" w:w="4759"/>
          </w:tcPr>
          <w:p>
            <w:pPr>
              <w:jc w:val="right"/>
            </w:pPr>
            <w:r>
              <w:t>812</w:t>
            </w:r>
          </w:p>
        </w:tc>
      </w:tr>
      <w:tr>
        <w:tc>
          <w:tcPr>
            <w:tcW w:type="dxa" w:w="4759"/>
          </w:tcPr>
          <w:p>
            <w:r>
              <w:t>Capabilities built</w:t>
            </w:r>
          </w:p>
        </w:tc>
        <w:tc>
          <w:tcPr>
            <w:tcW w:type="dxa" w:w="4759"/>
          </w:tcPr>
          <w:p>
            <w:pPr>
              <w:jc w:val="right"/>
            </w:pPr>
            <w:r>
              <w:t>422 of 426</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