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480"/>
              <w:left w:type="dxa" w:w="480"/>
              <w:bottom w:type="dxa" w:w="480"/>
              <w:right w:type="dxa" w:w="480"/>
            </w:tcMar>
          </w:tcPr>
          <w:p>
            <w:pPr>
              <w:spacing w:after="80" w:before="0"/>
            </w:pPr>
            <w:r>
              <w:rPr>
                <w:rFonts w:ascii="Arial" w:cs="Arial" w:eastAsia="Arial" w:hAnsi="Arial"/>
                <w:color w:val="93C5FD"/>
                <w:sz w:val="20"/>
                <w:szCs w:val="20"/>
              </w:rPr>
              <w:t xml:space="preserve">NorthStar Residential Group</w:t>
            </w:r>
          </w:p>
          <w:p>
            <w:pPr>
              <w:spacing w:after="120" w:before="0"/>
            </w:pPr>
            <w:r>
              <w:rPr>
                <w:rFonts w:ascii="Arial" w:cs="Arial" w:eastAsia="Arial" w:hAnsi="Arial"/>
                <w:b/>
                <w:bCs/>
                <w:color w:val="FFFFFF"/>
                <w:sz w:val="52"/>
                <w:szCs w:val="52"/>
              </w:rPr>
              <w:t xml:space="preserve">Vendor Performance Index</w:t>
            </w:r>
          </w:p>
          <w:p>
            <w:pPr>
              <w:spacing w:after="80" w:before="0"/>
            </w:pPr>
            <w:r>
              <w:rPr>
                <w:rFonts w:ascii="Arial" w:cs="Arial" w:eastAsia="Arial" w:hAnsi="Arial"/>
                <w:color w:val="CBD5E1"/>
                <w:sz w:val="26"/>
                <w:szCs w:val="26"/>
              </w:rPr>
              <w:t xml:space="preserve">Technical Reference &amp; Narrative Guide</w:t>
            </w:r>
          </w:p>
          <w:p>
            <w:pPr>
              <w:spacing w:after="0" w:before="0"/>
            </w:pPr>
            <w:r>
              <w:rPr>
                <w:rFonts w:ascii="Arial" w:cs="Arial" w:eastAsia="Arial" w:hAnsi="Arial"/>
                <w:color w:val="64748B"/>
                <w:sz w:val="20"/>
                <w:szCs w:val="20"/>
              </w:rPr>
              <w:t xml:space="preserve">Version 3.0  |  April 2026</w:t>
            </w:r>
          </w:p>
        </w:tc>
      </w:tr>
    </w:tbl>
    <w:p>
      <w:pPr>
        <w:spacing w:after="40" w:before="400"/>
      </w:pPr>
      <w:r>
        <w:t xml:space="preserve"/>
      </w:r>
    </w:p>
    <w:p>
      <w:pPr>
        <w:pStyle w:val="Heading1"/>
        <w:spacing w:after="160" w:before="320"/>
      </w:pPr>
      <w:r>
        <w:rPr>
          <w:rFonts w:ascii="Arial" w:cs="Arial" w:eastAsia="Arial" w:hAnsi="Arial"/>
          <w:b/>
          <w:bCs/>
          <w:color w:val="1E2A3A"/>
          <w:sz w:val="32"/>
          <w:szCs w:val="32"/>
        </w:rPr>
        <w:t xml:space="preserve">1. The Story — Where the VPI Fits</w:t>
      </w:r>
    </w:p>
    <w:p>
      <w:pPr>
        <w:spacing w:after="100" w:before="60"/>
      </w:pPr>
      <w:r>
        <w:rPr>
          <w:rFonts w:ascii="Arial" w:cs="Arial" w:eastAsia="Arial" w:hAnsi="Arial"/>
          <w:color w:val="374151"/>
          <w:sz w:val="22"/>
          <w:szCs w:val="22"/>
        </w:rPr>
        <w:t xml:space="preserve">The Vendor Performance Index answers a single question: is each marketing vendor actually driving leasing outcomes, or just generating activity? It is the primary instrument for evaluating marketing spend effectiveness across the NorthStar portfolio.</w:t>
      </w:r>
    </w:p>
    <w:p>
      <w:pPr>
        <w:spacing w:after="100" w:before="60"/>
      </w:pPr>
      <w:r>
        <w:rPr>
          <w:rFonts w:ascii="Arial" w:cs="Arial" w:eastAsia="Arial" w:hAnsi="Arial"/>
          <w:color w:val="374151"/>
          <w:sz w:val="22"/>
          <w:szCs w:val="22"/>
        </w:rPr>
        <w:t xml:space="preserve">Within the three-pillar NorthStar model, the VPI owns Pillar 1 — marketing performance. It feeds directly into the Marketing vs. Ops Gap scatter quadrant, where it is plotted against the Operations Index Score to determine whether a property's marketing engine and operational readiness are aligned.</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1.1 The Problem the VPI Solves</w:t>
      </w:r>
    </w:p>
    <w:p>
      <w:pPr>
        <w:spacing w:after="100" w:before="60"/>
      </w:pPr>
      <w:r>
        <w:rPr>
          <w:rFonts w:ascii="Arial" w:cs="Arial" w:eastAsia="Arial" w:hAnsi="Arial"/>
          <w:color w:val="374151"/>
          <w:sz w:val="22"/>
          <w:szCs w:val="22"/>
        </w:rPr>
        <w:t xml:space="preserve">Without the VPI, marketing evaluation defaults to raw volume and cost metrics in isolation: this vendor generated 500 leads, that vendor cost $280 per lease. Those numbers don't tell you whether 500 leads is good or bad for that vendor's channel, and they don't account for the full funnel journey from first impression to signed lease.</w:t>
      </w:r>
    </w:p>
    <w:p>
      <w:pPr>
        <w:spacing w:after="100" w:before="60"/>
      </w:pPr>
      <w:r>
        <w:rPr>
          <w:rFonts w:ascii="Arial" w:cs="Arial" w:eastAsia="Arial" w:hAnsi="Arial"/>
          <w:color w:val="374151"/>
          <w:sz w:val="22"/>
          <w:szCs w:val="22"/>
        </w:rPr>
        <w:t xml:space="preserve">The VPI solves this by evaluating every vendor across the complete leasing funnel — from awareness through conversion — using a consistent scoring methodology that accounts for the metrics each vendor actually participates in. A vendor that has no impression data (like Email Marketing) is not penalized for metrics that don't apply to its channel.</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1.2 The Four-Stage Funnel Model</w:t>
      </w:r>
    </w:p>
    <w:p>
      <w:pPr>
        <w:spacing w:after="100" w:before="60"/>
      </w:pPr>
      <w:r>
        <w:rPr>
          <w:rFonts w:ascii="Arial" w:cs="Arial" w:eastAsia="Arial" w:hAnsi="Arial"/>
          <w:color w:val="374151"/>
          <w:sz w:val="22"/>
          <w:szCs w:val="22"/>
        </w:rPr>
        <w:t xml:space="preserve">The VPI is organized around four funnel stages that mirror the prospect journey from first exposure to signed lease:</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12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61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What It Measures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2A3A"/>
                <w:sz w:val="20"/>
                <w:szCs w:val="20"/>
              </w:rPr>
              <w:t xml:space="preserve">Awareness</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2563EB"/>
                <w:sz w:val="20"/>
                <w:szCs w:val="20"/>
              </w:rPr>
              <w:t xml:space="preserve">15%</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Reach, engagement quality, cost efficiency, click-to-visit conversion</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2A3A"/>
                <w:sz w:val="20"/>
                <w:szCs w:val="20"/>
              </w:rPr>
              <w:t xml:space="preserve">Consideration</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bCs/>
                <w:color w:val="2563EB"/>
                <w:sz w:val="20"/>
                <w:szCs w:val="20"/>
              </w:rPr>
              <w:t xml:space="preserve">20%</w:t>
            </w:r>
          </w:p>
        </w:tc>
        <w:tc>
          <w:tcPr>
            <w:tcW w:type="dxa" w:w="6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Visit volume, cost per visit, visit-to-lead conversion rate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2A3A"/>
                <w:sz w:val="20"/>
                <w:szCs w:val="20"/>
              </w:rPr>
              <w:t xml:space="preserve">Evaluation</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2563EB"/>
                <w:sz w:val="20"/>
                <w:szCs w:val="20"/>
              </w:rPr>
              <w:t xml:space="preserve">25%</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Lead volume, cost per lead, lead-to-lease conversion rate</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2A3A"/>
                <w:sz w:val="20"/>
                <w:szCs w:val="20"/>
              </w:rPr>
              <w:t xml:space="preserve">Conversion</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bCs/>
                <w:color w:val="2563EB"/>
                <w:sz w:val="20"/>
                <w:szCs w:val="20"/>
              </w:rPr>
              <w:t xml:space="preserve">40%</w:t>
            </w:r>
          </w:p>
        </w:tc>
        <w:tc>
          <w:tcPr>
            <w:tcW w:type="dxa" w:w="6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New leases, cost per lease, vendor sell rate</w:t>
            </w:r>
          </w:p>
        </w:tc>
      </w:tr>
    </w:tbl>
    <w:p>
      <w:pPr>
        <w:spacing w:after="100" w:before="120"/>
      </w:pPr>
      <w:r>
        <w:t xml:space="preserve"/>
      </w:r>
    </w:p>
    <w:p>
      <w:pPr>
        <w:spacing w:after="100" w:before="60"/>
      </w:pPr>
      <w:r>
        <w:rPr>
          <w:rFonts w:ascii="Arial" w:cs="Arial" w:eastAsia="Arial" w:hAnsi="Arial"/>
          <w:color w:val="374151"/>
          <w:sz w:val="22"/>
          <w:szCs w:val="22"/>
        </w:rPr>
        <w:t xml:space="preserve">Conversion carries the highest weight (40%) because lease outcomes are the ultimate measure of vendor effectiveness. Awareness carries the lowest weight (15%) because reach without conversion is marketing waste. The weights are fixed — they do not adapt based on which stages a vendor participates in. However, if a vendor has no data for a stage, that stage is excluded from the denominator so the remaining stages are renormalized fairly.</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1.3 Why Conversion-Heavy Weighting</w:t>
      </w:r>
    </w:p>
    <w:p>
      <w:pPr>
        <w:spacing w:after="100" w:before="60"/>
      </w:pPr>
      <w:r>
        <w:rPr>
          <w:rFonts w:ascii="Arial" w:cs="Arial" w:eastAsia="Arial" w:hAnsi="Arial"/>
          <w:color w:val="374151"/>
          <w:sz w:val="22"/>
          <w:szCs w:val="22"/>
        </w:rPr>
        <w:t xml:space="preserve">The weighting philosophy reflects a deliberate business decision: a vendor that drives leases cheaply and consistently is more valuable than a vendor that generates enormous awareness with poor downstream conversion. This means ILS platforms and paid search channels — which tend to have strong conversion metrics — will naturally score higher than display channels optimized for impressions.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E5E7EB" w:sz="1"/>
              <w:right w:val="single" w:color="E5E7EB" w:sz="1"/>
            </w:tcBorders>
            <w:shd w:fill="EFF4FB" w:val="clear"/>
            <w:tcMar>
              <w:top w:type="dxa" w:w="120"/>
              <w:left w:type="dxa" w:w="160"/>
              <w:bottom w:type="dxa" w:w="120"/>
              <w:right w:type="dxa" w:w="160"/>
            </w:tcMar>
          </w:tcPr>
          <w:p>
            <w:pPr>
              <w:spacing w:after="40" w:before="0"/>
            </w:pPr>
            <w:r>
              <w:rPr>
                <w:rFonts w:ascii="Arial" w:cs="Arial" w:eastAsia="Arial" w:hAnsi="Arial"/>
                <w:b/>
                <w:bCs/>
                <w:color w:val="2563EB"/>
                <w:sz w:val="20"/>
                <w:szCs w:val="20"/>
              </w:rPr>
              <w:t xml:space="preserve">Design Principle</w:t>
            </w:r>
          </w:p>
          <w:p>
            <w:pPr>
              <w:spacing w:after="0" w:before="0"/>
            </w:pPr>
            <w:r>
              <w:rPr>
                <w:rFonts w:ascii="Arial" w:cs="Arial" w:eastAsia="Arial" w:hAnsi="Arial"/>
                <w:color w:val="374151"/>
                <w:sz w:val="20"/>
                <w:szCs w:val="20"/>
              </w:rPr>
              <w:t xml:space="preserve">The VPI is not a vanity metric. A vendor scoring 85 means it is meeting or exceeding the portfolio's own 3-month performance benchmark across most of the funnel stages it participates in. A vendor scoring 35 means it is falling significantly short of that same benchmark — not just that it is worse than other vendors. The score reflects absolute performance against a dynamic standard, not relative ranking against peers.</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2. Scoring Methodology — Tiered Benchmark Credit System</w:t>
      </w:r>
    </w:p>
    <w:p>
      <w:pPr>
        <w:spacing w:after="100" w:before="60"/>
      </w:pPr>
      <w:r>
        <w:rPr>
          <w:rFonts w:ascii="Arial" w:cs="Arial" w:eastAsia="Arial" w:hAnsi="Arial"/>
          <w:color w:val="374151"/>
          <w:sz w:val="22"/>
          <w:szCs w:val="22"/>
        </w:rPr>
        <w:t xml:space="preserve">Version 3.0 of the VPI introduced a fundamental redesign of the component scoring system. The previous percentile ranking approach — which scored each vendor relative to other vendors in the portfolio — was replaced with a tiered benchmark credit system that evaluates each vendor against the portfolio's own trailing 3-month performance average.</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2.1 Why the Percentile System Was Replaced</w:t>
      </w:r>
    </w:p>
    <w:p>
      <w:pPr>
        <w:spacing w:after="100" w:before="60"/>
      </w:pPr>
      <w:r>
        <w:rPr>
          <w:rFonts w:ascii="Arial" w:cs="Arial" w:eastAsia="Arial" w:hAnsi="Arial"/>
          <w:color w:val="374151"/>
          <w:sz w:val="22"/>
          <w:szCs w:val="22"/>
        </w:rPr>
        <w:t xml:space="preserve">The original percentile approach had a structural flaw: with only 11 vendors in the portfolio, the best vendor on any metric could score at most 90.9 (10/11 × 100), and the median vendor always scored exactly 45.5 regardless of absolute performance. The scores told you relative standing among 11 vendors — not whether those vendors were actually performing well.</w:t>
      </w:r>
    </w:p>
    <w:p>
      <w:pPr>
        <w:spacing w:after="100" w:before="60"/>
      </w:pPr>
      <w:r>
        <w:rPr>
          <w:rFonts w:ascii="Arial" w:cs="Arial" w:eastAsia="Arial" w:hAnsi="Arial"/>
          <w:color w:val="374151"/>
          <w:sz w:val="22"/>
          <w:szCs w:val="22"/>
        </w:rPr>
        <w:t xml:space="preserve">More critically, the system was a closed loop. If the entire vendor portfolio was underperforming, the best vendor still scored near 100 and the worst scored near 0. The VPI appeared healthy while actual leasing performance was deteriorating. The benchmark credit system breaks this loop.</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2.2 The Benchmark</w:t>
      </w:r>
    </w:p>
    <w:p>
      <w:pPr>
        <w:spacing w:after="100" w:before="60"/>
      </w:pPr>
      <w:r>
        <w:rPr>
          <w:rFonts w:ascii="Arial" w:cs="Arial" w:eastAsia="Arial" w:hAnsi="Arial"/>
          <w:color w:val="374151"/>
          <w:sz w:val="22"/>
          <w:szCs w:val="22"/>
        </w:rPr>
        <w:t xml:space="preserve">The benchmark for each metric is computed as the AVERAGEX of that metric across all vendors over the trailing 3 months from the maximum date in the current date filter context. It is fully dynamic:</w:t>
      </w:r>
    </w:p>
    <w:p>
      <w:pPr>
        <w:pStyle w:val="ListParagraph"/>
        <w:numPr>
          <w:ilvl w:val="0"/>
          <w:numId w:val="2"/>
        </w:numPr>
        <w:spacing w:after="40" w:before="40"/>
      </w:pPr>
      <w:r>
        <w:rPr>
          <w:rFonts w:ascii="Arial" w:cs="Arial" w:eastAsia="Arial" w:hAnsi="Arial"/>
          <w:color w:val="374151"/>
          <w:sz w:val="22"/>
          <w:szCs w:val="22"/>
        </w:rPr>
        <w:t xml:space="preserve">Respects the date slicer — the benchmark window shifts as the user changes the date filter</w:t>
      </w:r>
    </w:p>
    <w:p>
      <w:pPr>
        <w:pStyle w:val="ListParagraph"/>
        <w:numPr>
          <w:ilvl w:val="0"/>
          <w:numId w:val="2"/>
        </w:numPr>
        <w:spacing w:after="40" w:before="40"/>
      </w:pPr>
      <w:r>
        <w:rPr>
          <w:rFonts w:ascii="Arial" w:cs="Arial" w:eastAsia="Arial" w:hAnsi="Arial"/>
          <w:color w:val="374151"/>
          <w:sz w:val="22"/>
          <w:szCs w:val="22"/>
        </w:rPr>
        <w:t xml:space="preserve">Ignores all geo filters — always computed across ALL properties, markets, and regions</w:t>
      </w:r>
    </w:p>
    <w:p>
      <w:pPr>
        <w:pStyle w:val="ListParagraph"/>
        <w:numPr>
          <w:ilvl w:val="0"/>
          <w:numId w:val="2"/>
        </w:numPr>
        <w:spacing w:after="40" w:before="40"/>
      </w:pPr>
      <w:r>
        <w:rPr>
          <w:rFonts w:ascii="Arial" w:cs="Arial" w:eastAsia="Arial" w:hAnsi="Arial"/>
          <w:color w:val="374151"/>
          <w:sz w:val="22"/>
          <w:szCs w:val="22"/>
        </w:rPr>
        <w:t xml:space="preserve">Ignores all vendor/channel filters — always computed across ALL vendors</w:t>
      </w:r>
    </w:p>
    <w:p>
      <w:pPr>
        <w:pStyle w:val="ListParagraph"/>
        <w:numPr>
          <w:ilvl w:val="0"/>
          <w:numId w:val="2"/>
        </w:numPr>
        <w:spacing w:after="40" w:before="40"/>
      </w:pPr>
      <w:r>
        <w:rPr>
          <w:rFonts w:ascii="Arial" w:cs="Arial" w:eastAsia="Arial" w:hAnsi="Arial"/>
          <w:color w:val="374151"/>
          <w:sz w:val="22"/>
          <w:szCs w:val="22"/>
        </w:rPr>
        <w:t xml:space="preserve">3-month window ensures statistical stability — short-term noise does not distort the benchmark</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 Benchmark pattern (applied inside each component measure):</w:t>
            </w:r>
          </w:p>
          <w:p>
            <w:pPr>
              <w:spacing w:after="20" w:before="20"/>
            </w:pPr>
            <w:r>
              <w:rPr>
                <w:rFonts w:ascii="Courier New" w:cs="Courier New" w:eastAsia="Courier New" w:hAnsi="Courier New"/>
                <w:color w:val="1E3A5F"/>
                <w:sz w:val="18"/>
                <w:szCs w:val="18"/>
              </w:rPr>
              <w:t xml:space="preserve">VAR BenchmarkDate  = MAX(dim_date[Date])</w:t>
            </w:r>
          </w:p>
          <w:p>
            <w:pPr>
              <w:spacing w:after="20" w:before="20"/>
            </w:pPr>
            <w:r>
              <w:rPr>
                <w:rFonts w:ascii="Courier New" w:cs="Courier New" w:eastAsia="Courier New" w:hAnsi="Courier New"/>
                <w:color w:val="1E3A5F"/>
                <w:sz w:val="18"/>
                <w:szCs w:val="18"/>
              </w:rPr>
              <w:t xml:space="preserve">VAR BenchmarkStart = EDATE(BenchmarkDate, -3) + 1</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VAR Benchmark =</w:t>
            </w:r>
          </w:p>
          <w:p>
            <w:pPr>
              <w:spacing w:after="20" w:before="20"/>
            </w:pPr>
            <w:r>
              <w:rPr>
                <w:rFonts w:ascii="Courier New" w:cs="Courier New" w:eastAsia="Courier New" w:hAnsi="Courier New"/>
                <w:color w:val="1E3A5F"/>
                <w:sz w:val="18"/>
                <w:szCs w:val="18"/>
              </w:rPr>
              <w:t xml:space="preserve">    CALCULATE(</w:t>
            </w:r>
          </w:p>
          <w:p>
            <w:pPr>
              <w:spacing w:after="20" w:before="20"/>
            </w:pPr>
            <w:r>
              <w:rPr>
                <w:rFonts w:ascii="Courier New" w:cs="Courier New" w:eastAsia="Courier New" w:hAnsi="Courier New"/>
                <w:color w:val="1E3A5F"/>
                <w:sz w:val="18"/>
                <w:szCs w:val="18"/>
              </w:rPr>
              <w:t xml:space="preserve">        AVERAGEX(</w:t>
            </w:r>
          </w:p>
          <w:p>
            <w:pPr>
              <w:spacing w:after="20" w:before="20"/>
            </w:pPr>
            <w:r>
              <w:rPr>
                <w:rFonts w:ascii="Courier New" w:cs="Courier New" w:eastAsia="Courier New" w:hAnsi="Courier New"/>
                <w:color w:val="1E3A5F"/>
                <w:sz w:val="18"/>
                <w:szCs w:val="18"/>
              </w:rPr>
              <w:t xml:space="preserve">            VALUES(dim_vendor[VendorKey]),</w:t>
            </w:r>
          </w:p>
          <w:p>
            <w:pPr>
              <w:spacing w:after="20" w:before="20"/>
            </w:pPr>
            <w:r>
              <w:rPr>
                <w:rFonts w:ascii="Courier New" w:cs="Courier New" w:eastAsia="Courier New" w:hAnsi="Courier New"/>
                <w:color w:val="1E3A5F"/>
                <w:sz w:val="18"/>
                <w:szCs w:val="18"/>
              </w:rPr>
              <w:t xml:space="preserve">            CALCULATE([_Base_Metric])</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DATESBETWEEN(dim_date[Date], BenchmarkStart, BenchmarkDate),</w:t>
            </w:r>
          </w:p>
          <w:p>
            <w:pPr>
              <w:spacing w:after="20" w:before="20"/>
            </w:pPr>
            <w:r>
              <w:rPr>
                <w:rFonts w:ascii="Courier New" w:cs="Courier New" w:eastAsia="Courier New" w:hAnsi="Courier New"/>
                <w:color w:val="1E3A5F"/>
                <w:sz w:val="18"/>
                <w:szCs w:val="18"/>
              </w:rPr>
              <w:t xml:space="preserve">        ALL(dim_vendor),</w:t>
            </w:r>
          </w:p>
          <w:p>
            <w:pPr>
              <w:spacing w:after="20" w:before="20"/>
            </w:pPr>
            <w:r>
              <w:rPr>
                <w:rFonts w:ascii="Courier New" w:cs="Courier New" w:eastAsia="Courier New" w:hAnsi="Courier New"/>
                <w:color w:val="1E3A5F"/>
                <w:sz w:val="18"/>
                <w:szCs w:val="18"/>
              </w:rPr>
              <w:t xml:space="preserve">        ALL(dim_property),</w:t>
            </w:r>
          </w:p>
          <w:p>
            <w:pPr>
              <w:spacing w:after="20" w:before="20"/>
            </w:pPr>
            <w:r>
              <w:rPr>
                <w:rFonts w:ascii="Courier New" w:cs="Courier New" w:eastAsia="Courier New" w:hAnsi="Courier New"/>
                <w:color w:val="1E3A5F"/>
                <w:sz w:val="18"/>
                <w:szCs w:val="18"/>
              </w:rPr>
              <w:t xml:space="preserve">        ALL(dim_market),</w:t>
            </w:r>
          </w:p>
          <w:p>
            <w:pPr>
              <w:spacing w:after="20" w:before="20"/>
            </w:pPr>
            <w:r>
              <w:rPr>
                <w:rFonts w:ascii="Courier New" w:cs="Courier New" w:eastAsia="Courier New" w:hAnsi="Courier New"/>
                <w:color w:val="1E3A5F"/>
                <w:sz w:val="18"/>
                <w:szCs w:val="18"/>
              </w:rPr>
              <w:t xml:space="preserve">        ALL(dim_region)</w:t>
            </w:r>
          </w:p>
          <w:p>
            <w:pPr>
              <w:spacing w:after="20" w:before="20"/>
            </w:pPr>
            <w:r>
              <w:rPr>
                <w:rFonts w:ascii="Courier New" w:cs="Courier New" w:eastAsia="Courier New" w:hAnsi="Courier New"/>
                <w:color w:val="1E3A5F"/>
                <w:sz w:val="18"/>
                <w:szCs w:val="18"/>
              </w:rPr>
              <w:t xml:space="preserve">    )</w:t>
            </w:r>
          </w:p>
        </w:tc>
      </w:tr>
    </w:tbl>
    <w:p>
      <w:pPr>
        <w:spacing w:after="100" w:before="12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2.3 Tiered Credit — Higher is Better Metrics</w:t>
      </w:r>
    </w:p>
    <w:p>
      <w:pPr>
        <w:spacing w:after="100" w:before="60"/>
      </w:pPr>
      <w:r>
        <w:rPr>
          <w:rFonts w:ascii="Arial" w:cs="Arial" w:eastAsia="Arial" w:hAnsi="Arial"/>
          <w:color w:val="374151"/>
          <w:sz w:val="22"/>
          <w:szCs w:val="22"/>
        </w:rPr>
        <w:t xml:space="preserve">For metrics where higher values indicate better performance (impressions, CTR, visit volume, lead volume, conversion rates, new leases, sell rate), the vendor's value is divided by the benchmark to produce a ratio, then mapped to a score credit:</w:t>
      </w:r>
    </w:p>
    <w:p>
      <w:pPr>
        <w:spacing w:after="100" w:before="60"/>
      </w:pPr>
      <w:r>
        <w:t xml:space="preserve"/>
      </w:r>
    </w:p>
    <w:tbl>
      <w:tblPr>
        <w:tblW w:type="dxa" w:w="65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000"/>
      </w:tblGrid>
      <w:tr>
        <w:trPr>
          <w:tblHeader/>
        </w:trPr>
        <w:tc>
          <w:tcPr>
            <w:tcW w:type="dxa" w:w="2400"/>
            <w:tcBorders>
              <w:top w:val="single" w:color="22C55E" w:sz="1"/>
              <w:left w:val="single" w:color="22C55E" w:sz="1"/>
              <w:bottom w:val="single" w:color="22C55E" w:sz="1"/>
              <w:right w:val="single" w:color="22C55E" w:sz="1"/>
            </w:tcBorders>
            <w:shd w:fill="1E2A3A" w:val="clear"/>
            <w:tcMar>
              <w:top w:type="dxa" w:w="100"/>
              <w:left w:type="dxa" w:w="140"/>
              <w:bottom w:type="dxa" w:w="100"/>
              <w:right w:type="dxa" w:w="140"/>
            </w:tcMar>
          </w:tcPr>
          <w:p>
            <w:r>
              <w:rPr>
                <w:rFonts w:ascii="Arial" w:cs="Arial" w:eastAsia="Arial" w:hAnsi="Arial"/>
                <w:b/>
                <w:bCs/>
                <w:color w:val="FFFFFF"/>
                <w:sz w:val="19"/>
                <w:szCs w:val="19"/>
              </w:rPr>
              <w:t xml:space="preserve">Performance vs Benchmark</w:t>
            </w:r>
          </w:p>
        </w:tc>
        <w:tc>
          <w:tcPr>
            <w:tcW w:type="dxa" w:w="3160"/>
            <w:tcBorders>
              <w:top w:val="single" w:color="22C55E" w:sz="1"/>
              <w:left w:val="single" w:color="22C55E" w:sz="1"/>
              <w:bottom w:val="single" w:color="22C55E" w:sz="1"/>
              <w:right w:val="single" w:color="22C55E" w:sz="1"/>
            </w:tcBorders>
            <w:shd w:fill="1E2A3A" w:val="clear"/>
            <w:tcMar>
              <w:top w:type="dxa" w:w="100"/>
              <w:left w:type="dxa" w:w="140"/>
              <w:bottom w:type="dxa" w:w="100"/>
              <w:right w:type="dxa" w:w="140"/>
            </w:tcMar>
          </w:tcPr>
          <w:p>
            <w:r>
              <w:rPr>
                <w:rFonts w:ascii="Arial" w:cs="Arial" w:eastAsia="Arial" w:hAnsi="Arial"/>
                <w:b/>
                <w:bCs/>
                <w:color w:val="FFFFFF"/>
                <w:sz w:val="19"/>
                <w:szCs w:val="19"/>
              </w:rPr>
              <w:t xml:space="preserve">Interpretation</w:t>
            </w:r>
          </w:p>
        </w:tc>
        <w:tc>
          <w:tcPr>
            <w:tcW w:type="dxa" w:w="1000"/>
            <w:tcBorders>
              <w:top w:val="single" w:color="22C55E" w:sz="1"/>
              <w:left w:val="single" w:color="22C55E" w:sz="1"/>
              <w:bottom w:val="single" w:color="22C55E" w:sz="1"/>
              <w:right w:val="single" w:color="22C55E" w:sz="1"/>
            </w:tcBorders>
            <w:shd w:fill="1E2A3A" w:val="clear"/>
            <w:tcMar>
              <w:top w:type="dxa" w:w="100"/>
              <w:left w:type="dxa" w:w="140"/>
              <w:bottom w:type="dxa" w:w="100"/>
              <w:right w:type="dxa" w:w="140"/>
            </w:tcMar>
          </w:tcPr>
          <w:p>
            <w:r>
              <w:rPr>
                <w:rFonts w:ascii="Arial" w:cs="Arial" w:eastAsia="Arial" w:hAnsi="Arial"/>
                <w:b/>
                <w:bCs/>
                <w:color w:val="FFFFFF"/>
                <w:sz w:val="19"/>
                <w:szCs w:val="19"/>
              </w:rPr>
              <w:t xml:space="preserve">Score Credit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8"/>
                <w:szCs w:val="18"/>
              </w:rPr>
              <w:t xml:space="preserve">≥ 100% of benchmark</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At or above</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22C55E"/>
                <w:sz w:val="20"/>
                <w:szCs w:val="20"/>
              </w:rPr>
              <w:t xml:space="preserve">100</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8"/>
                <w:szCs w:val="18"/>
              </w:rPr>
              <w:t xml:space="preserve">75% – 99%</w:t>
            </w:r>
          </w:p>
        </w:tc>
        <w:tc>
          <w:tcPr>
            <w:tcW w:type="dxa" w:w="3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Slightly below</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bCs/>
                <w:color w:val="F97316"/>
                <w:sz w:val="20"/>
                <w:szCs w:val="20"/>
              </w:rPr>
              <w:t xml:space="preserve">75</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8"/>
                <w:szCs w:val="18"/>
              </w:rPr>
              <w:t xml:space="preserve">50% – 74%</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Moderately below</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F97316"/>
                <w:sz w:val="20"/>
                <w:szCs w:val="20"/>
              </w:rPr>
              <w:t xml:space="preserve">50</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8"/>
                <w:szCs w:val="18"/>
              </w:rPr>
              <w:t xml:space="preserve">25% – 49%</w:t>
            </w:r>
          </w:p>
        </w:tc>
        <w:tc>
          <w:tcPr>
            <w:tcW w:type="dxa" w:w="3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Significantly below</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bCs/>
                <w:color w:val="F97316"/>
                <w:sz w:val="20"/>
                <w:szCs w:val="20"/>
              </w:rPr>
              <w:t xml:space="preserve">25</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8"/>
                <w:szCs w:val="18"/>
              </w:rPr>
              <w:t xml:space="preserve">&lt; 25%</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Critically below</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0</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VAR Ratio = DIVIDE(VendorValue, Benchmark, BLANK())</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SWITCH(</w:t>
            </w:r>
          </w:p>
          <w:p>
            <w:pPr>
              <w:spacing w:after="20" w:before="20"/>
            </w:pPr>
            <w:r>
              <w:rPr>
                <w:rFonts w:ascii="Courier New" w:cs="Courier New" w:eastAsia="Courier New" w:hAnsi="Courier New"/>
                <w:color w:val="1E3A5F"/>
                <w:sz w:val="18"/>
                <w:szCs w:val="18"/>
              </w:rPr>
              <w:t xml:space="preserve">    TRUE(),</w:t>
            </w:r>
          </w:p>
          <w:p>
            <w:pPr>
              <w:spacing w:after="20" w:before="20"/>
            </w:pPr>
            <w:r>
              <w:rPr>
                <w:rFonts w:ascii="Courier New" w:cs="Courier New" w:eastAsia="Courier New" w:hAnsi="Courier New"/>
                <w:color w:val="1E3A5F"/>
                <w:sz w:val="18"/>
                <w:szCs w:val="18"/>
              </w:rPr>
              <w:t xml:space="preserve">    ISBLANK(Ratio) || ISBLANK(VendorValue), BLANK(),</w:t>
            </w:r>
          </w:p>
          <w:p>
            <w:pPr>
              <w:spacing w:after="20" w:before="20"/>
            </w:pPr>
            <w:r>
              <w:rPr>
                <w:rFonts w:ascii="Courier New" w:cs="Courier New" w:eastAsia="Courier New" w:hAnsi="Courier New"/>
                <w:color w:val="1E3A5F"/>
                <w:sz w:val="18"/>
                <w:szCs w:val="18"/>
              </w:rPr>
              <w:t xml:space="preserve">    Ratio &gt;= 1.00, 100,</w:t>
            </w:r>
          </w:p>
          <w:p>
            <w:pPr>
              <w:spacing w:after="20" w:before="20"/>
            </w:pPr>
            <w:r>
              <w:rPr>
                <w:rFonts w:ascii="Courier New" w:cs="Courier New" w:eastAsia="Courier New" w:hAnsi="Courier New"/>
                <w:color w:val="1E3A5F"/>
                <w:sz w:val="18"/>
                <w:szCs w:val="18"/>
              </w:rPr>
              <w:t xml:space="preserve">    Ratio &gt;= 0.75,  75,</w:t>
            </w:r>
          </w:p>
          <w:p>
            <w:pPr>
              <w:spacing w:after="20" w:before="20"/>
            </w:pPr>
            <w:r>
              <w:rPr>
                <w:rFonts w:ascii="Courier New" w:cs="Courier New" w:eastAsia="Courier New" w:hAnsi="Courier New"/>
                <w:color w:val="1E3A5F"/>
                <w:sz w:val="18"/>
                <w:szCs w:val="18"/>
              </w:rPr>
              <w:t xml:space="preserve">    Ratio &gt;= 0.50,  50,</w:t>
            </w:r>
          </w:p>
          <w:p>
            <w:pPr>
              <w:spacing w:after="20" w:before="20"/>
            </w:pPr>
            <w:r>
              <w:rPr>
                <w:rFonts w:ascii="Courier New" w:cs="Courier New" w:eastAsia="Courier New" w:hAnsi="Courier New"/>
                <w:color w:val="1E3A5F"/>
                <w:sz w:val="18"/>
                <w:szCs w:val="18"/>
              </w:rPr>
              <w:t xml:space="preserve">    Ratio &gt;= 0.25,  25,</w:t>
            </w:r>
          </w:p>
          <w:p>
            <w:pPr>
              <w:spacing w:after="20" w:before="20"/>
            </w:pPr>
            <w:r>
              <w:rPr>
                <w:rFonts w:ascii="Courier New" w:cs="Courier New" w:eastAsia="Courier New" w:hAnsi="Courier New"/>
                <w:color w:val="1E3A5F"/>
                <w:sz w:val="18"/>
                <w:szCs w:val="18"/>
              </w:rPr>
              <w:t xml:space="preserve">    0</w:t>
            </w:r>
          </w:p>
          <w:p>
            <w:pPr>
              <w:spacing w:after="20" w:before="20"/>
            </w:pPr>
            <w:r>
              <w:rPr>
                <w:rFonts w:ascii="Courier New" w:cs="Courier New" w:eastAsia="Courier New" w:hAnsi="Courier New"/>
                <w:color w:val="1E3A5F"/>
                <w:sz w:val="18"/>
                <w:szCs w:val="18"/>
              </w:rPr>
              <w:t xml:space="preserve">)</w:t>
            </w:r>
          </w:p>
        </w:tc>
      </w:tr>
    </w:tbl>
    <w:p>
      <w:pPr>
        <w:spacing w:after="100" w:before="12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2.4 Tiered Credit — Lower is Better (Cost) Metrics</w:t>
      </w:r>
    </w:p>
    <w:p>
      <w:pPr>
        <w:spacing w:after="100" w:before="60"/>
      </w:pPr>
      <w:r>
        <w:rPr>
          <w:rFonts w:ascii="Arial" w:cs="Arial" w:eastAsia="Arial" w:hAnsi="Arial"/>
          <w:color w:val="374151"/>
          <w:sz w:val="22"/>
          <w:szCs w:val="22"/>
        </w:rPr>
        <w:t xml:space="preserve">For cost metrics where lower values indicate better performance (CPC, CPV, CPL, Cost per Lease), the ratio is inverted — a vendor spending less than benchmark is rewarded, a vendor spending more is penalized:</w:t>
      </w:r>
    </w:p>
    <w:p>
      <w:pPr>
        <w:spacing w:after="100" w:before="60"/>
      </w:pPr>
      <w:r>
        <w:t xml:space="preserve"/>
      </w:r>
    </w:p>
    <w:tbl>
      <w:tblPr>
        <w:tblW w:type="dxa" w:w="65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000"/>
      </w:tblGrid>
      <w:tr>
        <w:trPr>
          <w:tblHeader/>
        </w:trPr>
        <w:tc>
          <w:tcPr>
            <w:tcW w:type="dxa" w:w="2400"/>
            <w:tcBorders>
              <w:top w:val="single" w:color="F97316" w:sz="1"/>
              <w:left w:val="single" w:color="F97316" w:sz="1"/>
              <w:bottom w:val="single" w:color="F97316" w:sz="1"/>
              <w:right w:val="single" w:color="F97316" w:sz="1"/>
            </w:tcBorders>
            <w:shd w:fill="1E2A3A" w:val="clear"/>
            <w:tcMar>
              <w:top w:type="dxa" w:w="100"/>
              <w:left w:type="dxa" w:w="140"/>
              <w:bottom w:type="dxa" w:w="100"/>
              <w:right w:type="dxa" w:w="140"/>
            </w:tcMar>
          </w:tcPr>
          <w:p>
            <w:r>
              <w:rPr>
                <w:rFonts w:ascii="Arial" w:cs="Arial" w:eastAsia="Arial" w:hAnsi="Arial"/>
                <w:b/>
                <w:bCs/>
                <w:color w:val="FFFFFF"/>
                <w:sz w:val="19"/>
                <w:szCs w:val="19"/>
              </w:rPr>
              <w:t xml:space="preserve">Performance vs Benchmark</w:t>
            </w:r>
          </w:p>
        </w:tc>
        <w:tc>
          <w:tcPr>
            <w:tcW w:type="dxa" w:w="3160"/>
            <w:tcBorders>
              <w:top w:val="single" w:color="F97316" w:sz="1"/>
              <w:left w:val="single" w:color="F97316" w:sz="1"/>
              <w:bottom w:val="single" w:color="F97316" w:sz="1"/>
              <w:right w:val="single" w:color="F97316" w:sz="1"/>
            </w:tcBorders>
            <w:shd w:fill="1E2A3A" w:val="clear"/>
            <w:tcMar>
              <w:top w:type="dxa" w:w="100"/>
              <w:left w:type="dxa" w:w="140"/>
              <w:bottom w:type="dxa" w:w="100"/>
              <w:right w:type="dxa" w:w="140"/>
            </w:tcMar>
          </w:tcPr>
          <w:p>
            <w:r>
              <w:rPr>
                <w:rFonts w:ascii="Arial" w:cs="Arial" w:eastAsia="Arial" w:hAnsi="Arial"/>
                <w:b/>
                <w:bCs/>
                <w:color w:val="FFFFFF"/>
                <w:sz w:val="19"/>
                <w:szCs w:val="19"/>
              </w:rPr>
              <w:t xml:space="preserve">Interpretation</w:t>
            </w:r>
          </w:p>
        </w:tc>
        <w:tc>
          <w:tcPr>
            <w:tcW w:type="dxa" w:w="1000"/>
            <w:tcBorders>
              <w:top w:val="single" w:color="F97316" w:sz="1"/>
              <w:left w:val="single" w:color="F97316" w:sz="1"/>
              <w:bottom w:val="single" w:color="F97316" w:sz="1"/>
              <w:right w:val="single" w:color="F97316" w:sz="1"/>
            </w:tcBorders>
            <w:shd w:fill="1E2A3A" w:val="clear"/>
            <w:tcMar>
              <w:top w:type="dxa" w:w="100"/>
              <w:left w:type="dxa" w:w="140"/>
              <w:bottom w:type="dxa" w:w="100"/>
              <w:right w:type="dxa" w:w="140"/>
            </w:tcMar>
          </w:tcPr>
          <w:p>
            <w:r>
              <w:rPr>
                <w:rFonts w:ascii="Arial" w:cs="Arial" w:eastAsia="Arial" w:hAnsi="Arial"/>
                <w:b/>
                <w:bCs/>
                <w:color w:val="FFFFFF"/>
                <w:sz w:val="19"/>
                <w:szCs w:val="19"/>
              </w:rPr>
              <w:t xml:space="preserve">Score Credit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8"/>
                <w:szCs w:val="18"/>
              </w:rPr>
              <w:t xml:space="preserve">≤ 100% of benchmark</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At or below cost</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22C55E"/>
                <w:sz w:val="20"/>
                <w:szCs w:val="20"/>
              </w:rPr>
              <w:t xml:space="preserve">100</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8"/>
                <w:szCs w:val="18"/>
              </w:rPr>
              <w:t xml:space="preserve">101% – 125%</w:t>
            </w:r>
          </w:p>
        </w:tc>
        <w:tc>
          <w:tcPr>
            <w:tcW w:type="dxa" w:w="3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Slightly more expensive</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bCs/>
                <w:color w:val="F97316"/>
                <w:sz w:val="20"/>
                <w:szCs w:val="20"/>
              </w:rPr>
              <w:t xml:space="preserve">75</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8"/>
                <w:szCs w:val="18"/>
              </w:rPr>
              <w:t xml:space="preserve">126% – 150%</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Moderately more expensive</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F97316"/>
                <w:sz w:val="20"/>
                <w:szCs w:val="20"/>
              </w:rPr>
              <w:t xml:space="preserve">50</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8"/>
                <w:szCs w:val="18"/>
              </w:rPr>
              <w:t xml:space="preserve">151% – 175%</w:t>
            </w:r>
          </w:p>
        </w:tc>
        <w:tc>
          <w:tcPr>
            <w:tcW w:type="dxa" w:w="3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Significantly more expensive</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bCs/>
                <w:color w:val="F97316"/>
                <w:sz w:val="20"/>
                <w:szCs w:val="20"/>
              </w:rPr>
              <w:t xml:space="preserve">25</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8"/>
                <w:szCs w:val="18"/>
              </w:rPr>
              <w:t xml:space="preserve">&gt; 175%</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Critically over budget</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0</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VAR Ratio = DIVIDE(VendorValue, Benchmark, BLANK())</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SWITCH(</w:t>
            </w:r>
          </w:p>
          <w:p>
            <w:pPr>
              <w:spacing w:after="20" w:before="20"/>
            </w:pPr>
            <w:r>
              <w:rPr>
                <w:rFonts w:ascii="Courier New" w:cs="Courier New" w:eastAsia="Courier New" w:hAnsi="Courier New"/>
                <w:color w:val="1E3A5F"/>
                <w:sz w:val="18"/>
                <w:szCs w:val="18"/>
              </w:rPr>
              <w:t xml:space="preserve">    TRUE(),</w:t>
            </w:r>
          </w:p>
          <w:p>
            <w:pPr>
              <w:spacing w:after="20" w:before="20"/>
            </w:pPr>
            <w:r>
              <w:rPr>
                <w:rFonts w:ascii="Courier New" w:cs="Courier New" w:eastAsia="Courier New" w:hAnsi="Courier New"/>
                <w:color w:val="1E3A5F"/>
                <w:sz w:val="18"/>
                <w:szCs w:val="18"/>
              </w:rPr>
              <w:t xml:space="preserve">    ISBLANK(Ratio) || ISBLANK(VendorValue), BLANK(),</w:t>
            </w:r>
          </w:p>
          <w:p>
            <w:pPr>
              <w:spacing w:after="20" w:before="20"/>
            </w:pPr>
            <w:r>
              <w:rPr>
                <w:rFonts w:ascii="Courier New" w:cs="Courier New" w:eastAsia="Courier New" w:hAnsi="Courier New"/>
                <w:color w:val="1E3A5F"/>
                <w:sz w:val="18"/>
                <w:szCs w:val="18"/>
              </w:rPr>
              <w:t xml:space="preserve">    Ratio &lt;= 1.00, 100,</w:t>
            </w:r>
          </w:p>
          <w:p>
            <w:pPr>
              <w:spacing w:after="20" w:before="20"/>
            </w:pPr>
            <w:r>
              <w:rPr>
                <w:rFonts w:ascii="Courier New" w:cs="Courier New" w:eastAsia="Courier New" w:hAnsi="Courier New"/>
                <w:color w:val="1E3A5F"/>
                <w:sz w:val="18"/>
                <w:szCs w:val="18"/>
              </w:rPr>
              <w:t xml:space="preserve">    Ratio &lt;= 1.25,  75,</w:t>
            </w:r>
          </w:p>
          <w:p>
            <w:pPr>
              <w:spacing w:after="20" w:before="20"/>
            </w:pPr>
            <w:r>
              <w:rPr>
                <w:rFonts w:ascii="Courier New" w:cs="Courier New" w:eastAsia="Courier New" w:hAnsi="Courier New"/>
                <w:color w:val="1E3A5F"/>
                <w:sz w:val="18"/>
                <w:szCs w:val="18"/>
              </w:rPr>
              <w:t xml:space="preserve">    Ratio &lt;= 1.50,  50,</w:t>
            </w:r>
          </w:p>
          <w:p>
            <w:pPr>
              <w:spacing w:after="20" w:before="20"/>
            </w:pPr>
            <w:r>
              <w:rPr>
                <w:rFonts w:ascii="Courier New" w:cs="Courier New" w:eastAsia="Courier New" w:hAnsi="Courier New"/>
                <w:color w:val="1E3A5F"/>
                <w:sz w:val="18"/>
                <w:szCs w:val="18"/>
              </w:rPr>
              <w:t xml:space="preserve">    Ratio &lt;= 1.75,  25,</w:t>
            </w:r>
          </w:p>
          <w:p>
            <w:pPr>
              <w:spacing w:after="20" w:before="20"/>
            </w:pPr>
            <w:r>
              <w:rPr>
                <w:rFonts w:ascii="Courier New" w:cs="Courier New" w:eastAsia="Courier New" w:hAnsi="Courier New"/>
                <w:color w:val="1E3A5F"/>
                <w:sz w:val="18"/>
                <w:szCs w:val="18"/>
              </w:rPr>
              <w:t xml:space="preserve">    0</w:t>
            </w:r>
          </w:p>
          <w:p>
            <w:pPr>
              <w:spacing w:after="20" w:before="20"/>
            </w:pPr>
            <w:r>
              <w:rPr>
                <w:rFonts w:ascii="Courier New" w:cs="Courier New" w:eastAsia="Courier New" w:hAnsi="Courier New"/>
                <w:color w:val="1E3A5F"/>
                <w:sz w:val="18"/>
                <w:szCs w:val="18"/>
              </w:rPr>
              <w:t xml:space="preserve">)</w:t>
            </w:r>
          </w:p>
        </w:tc>
      </w:tr>
    </w:tbl>
    <w:p>
      <w:pPr>
        <w:spacing w:after="100" w:before="12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2.5 Stage Score Aggregation</w:t>
      </w:r>
    </w:p>
    <w:p>
      <w:pPr>
        <w:spacing w:after="100" w:before="60"/>
      </w:pPr>
      <w:r>
        <w:rPr>
          <w:rFonts w:ascii="Arial" w:cs="Arial" w:eastAsia="Arial" w:hAnsi="Arial"/>
          <w:color w:val="374151"/>
          <w:sz w:val="22"/>
          <w:szCs w:val="22"/>
        </w:rPr>
        <w:t xml:space="preserve">Each stage aggregates its component scores using fixed internal weights. The stage score is the weighted average of its components, with blank handling so a missing component does not zero out the entire stage:</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 Example: Awareness Score (equal 25% weight per component)</w:t>
            </w:r>
          </w:p>
          <w:p>
            <w:pPr>
              <w:spacing w:after="20" w:before="20"/>
            </w:pPr>
            <w:r>
              <w:rPr>
                <w:rFonts w:ascii="Courier New" w:cs="Courier New" w:eastAsia="Courier New" w:hAnsi="Courier New"/>
                <w:color w:val="1E3A5F"/>
                <w:sz w:val="18"/>
                <w:szCs w:val="18"/>
              </w:rPr>
              <w:t xml:space="preserve">VAR ImpressionsScore = [Awareness_Impressions_Percentile]</w:t>
            </w:r>
          </w:p>
          <w:p>
            <w:pPr>
              <w:spacing w:after="20" w:before="20"/>
            </w:pPr>
            <w:r>
              <w:rPr>
                <w:rFonts w:ascii="Courier New" w:cs="Courier New" w:eastAsia="Courier New" w:hAnsi="Courier New"/>
                <w:color w:val="1E3A5F"/>
                <w:sz w:val="18"/>
                <w:szCs w:val="18"/>
              </w:rPr>
              <w:t xml:space="preserve">VAR CTRScore         = [Awareness_CTR_Percentile]</w:t>
            </w:r>
          </w:p>
          <w:p>
            <w:pPr>
              <w:spacing w:after="20" w:before="20"/>
            </w:pPr>
            <w:r>
              <w:rPr>
                <w:rFonts w:ascii="Courier New" w:cs="Courier New" w:eastAsia="Courier New" w:hAnsi="Courier New"/>
                <w:color w:val="1E3A5F"/>
                <w:sz w:val="18"/>
                <w:szCs w:val="18"/>
              </w:rPr>
              <w:t xml:space="preserve">VAR CPCScore         = [Awareness_CPC_Percentile]</w:t>
            </w:r>
          </w:p>
          <w:p>
            <w:pPr>
              <w:spacing w:after="20" w:before="20"/>
            </w:pPr>
            <w:r>
              <w:rPr>
                <w:rFonts w:ascii="Courier New" w:cs="Courier New" w:eastAsia="Courier New" w:hAnsi="Courier New"/>
                <w:color w:val="1E3A5F"/>
                <w:sz w:val="18"/>
                <w:szCs w:val="18"/>
              </w:rPr>
              <w:t xml:space="preserve">VAR C2VScore         = [Awareness_ClickToVisit_Percentile]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VAR ValidScores =</w:t>
            </w:r>
          </w:p>
          <w:p>
            <w:pPr>
              <w:spacing w:after="20" w:before="20"/>
            </w:pPr>
            <w:r>
              <w:rPr>
                <w:rFonts w:ascii="Courier New" w:cs="Courier New" w:eastAsia="Courier New" w:hAnsi="Courier New"/>
                <w:color w:val="1E3A5F"/>
                <w:sz w:val="18"/>
                <w:szCs w:val="18"/>
              </w:rPr>
              <w:t xml:space="preserve">    IF(NOT ISBLANK(ImpressionsScore), 1, 0) +</w:t>
            </w:r>
          </w:p>
          <w:p>
            <w:pPr>
              <w:spacing w:after="20" w:before="20"/>
            </w:pPr>
            <w:r>
              <w:rPr>
                <w:rFonts w:ascii="Courier New" w:cs="Courier New" w:eastAsia="Courier New" w:hAnsi="Courier New"/>
                <w:color w:val="1E3A5F"/>
                <w:sz w:val="18"/>
                <w:szCs w:val="18"/>
              </w:rPr>
              <w:t xml:space="preserve">    IF(NOT ISBLANK(CTRScore), 1, 0) +</w:t>
            </w:r>
          </w:p>
          <w:p>
            <w:pPr>
              <w:spacing w:after="20" w:before="20"/>
            </w:pPr>
            <w:r>
              <w:rPr>
                <w:rFonts w:ascii="Courier New" w:cs="Courier New" w:eastAsia="Courier New" w:hAnsi="Courier New"/>
                <w:color w:val="1E3A5F"/>
                <w:sz w:val="18"/>
                <w:szCs w:val="18"/>
              </w:rPr>
              <w:t xml:space="preserve">    IF(NOT ISBLANK(CPCScore), 1, 0) +</w:t>
            </w:r>
          </w:p>
          <w:p>
            <w:pPr>
              <w:spacing w:after="20" w:before="20"/>
            </w:pPr>
            <w:r>
              <w:rPr>
                <w:rFonts w:ascii="Courier New" w:cs="Courier New" w:eastAsia="Courier New" w:hAnsi="Courier New"/>
                <w:color w:val="1E3A5F"/>
                <w:sz w:val="18"/>
                <w:szCs w:val="18"/>
              </w:rPr>
              <w:t xml:space="preserve">    IF(NOT ISBLANK(C2VScore), 1, 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IF(ValidScores = 0, BLANK(),</w:t>
            </w:r>
          </w:p>
          <w:p>
            <w:pPr>
              <w:spacing w:after="20" w:before="20"/>
            </w:pPr>
            <w:r>
              <w:rPr>
                <w:rFonts w:ascii="Courier New" w:cs="Courier New" w:eastAsia="Courier New" w:hAnsi="Courier New"/>
                <w:color w:val="1E3A5F"/>
                <w:sz w:val="18"/>
                <w:szCs w:val="18"/>
              </w:rPr>
              <w:t xml:space="preserve">    IF(ISBLANK(ImpressionsScore), 0, ImpressionsScore * 0.25) +</w:t>
            </w:r>
          </w:p>
          <w:p>
            <w:pPr>
              <w:spacing w:after="20" w:before="20"/>
            </w:pPr>
            <w:r>
              <w:rPr>
                <w:rFonts w:ascii="Courier New" w:cs="Courier New" w:eastAsia="Courier New" w:hAnsi="Courier New"/>
                <w:color w:val="1E3A5F"/>
                <w:sz w:val="18"/>
                <w:szCs w:val="18"/>
              </w:rPr>
              <w:t xml:space="preserve">    IF(ISBLANK(CTRScore),         0, CTRScore         * 0.25) +</w:t>
            </w:r>
          </w:p>
          <w:p>
            <w:pPr>
              <w:spacing w:after="20" w:before="20"/>
            </w:pPr>
            <w:r>
              <w:rPr>
                <w:rFonts w:ascii="Courier New" w:cs="Courier New" w:eastAsia="Courier New" w:hAnsi="Courier New"/>
                <w:color w:val="1E3A5F"/>
                <w:sz w:val="18"/>
                <w:szCs w:val="18"/>
              </w:rPr>
              <w:t xml:space="preserve">    IF(ISBLANK(CPCScore),         0, CPCScore         * 0.25) +</w:t>
            </w:r>
          </w:p>
          <w:p>
            <w:pPr>
              <w:spacing w:after="20" w:before="20"/>
            </w:pPr>
            <w:r>
              <w:rPr>
                <w:rFonts w:ascii="Courier New" w:cs="Courier New" w:eastAsia="Courier New" w:hAnsi="Courier New"/>
                <w:color w:val="1E3A5F"/>
                <w:sz w:val="18"/>
                <w:szCs w:val="18"/>
              </w:rPr>
              <w:t xml:space="preserve">    IF(ISBLANK(C2VScore),         0, C2VScore         * 0.25)</w:t>
            </w:r>
          </w:p>
          <w:p>
            <w:pPr>
              <w:spacing w:after="20" w:before="20"/>
            </w:pPr>
            <w:r>
              <w:rPr>
                <w:rFonts w:ascii="Courier New" w:cs="Courier New" w:eastAsia="Courier New" w:hAnsi="Courier New"/>
                <w:color w:val="1E3A5F"/>
                <w:sz w:val="18"/>
                <w:szCs w:val="18"/>
              </w:rPr>
              <w:t xml:space="preserve">)</w:t>
            </w:r>
          </w:p>
        </w:tc>
      </w:tr>
    </w:tbl>
    <w:p>
      <w:pPr>
        <w:spacing w:after="100" w:before="12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2.6 Master VPI Score — Weight-Adaptive Composition</w:t>
      </w:r>
    </w:p>
    <w:p>
      <w:pPr>
        <w:spacing w:after="100" w:before="60"/>
      </w:pPr>
      <w:r>
        <w:rPr>
          <w:rFonts w:ascii="Arial" w:cs="Arial" w:eastAsia="Arial" w:hAnsi="Arial"/>
          <w:color w:val="374151"/>
          <w:sz w:val="22"/>
          <w:szCs w:val="22"/>
        </w:rPr>
        <w:t xml:space="preserve">The final VPI score is produced by _VPI_SingleVendor_Score, which combines the four stage scores using a weight-adaptive pattern. If a vendor has no data for a stage (BLANK), that stage's weight is excluded from both the numerator and denominator, so the remaining stages are renormalized to sum to 100%:</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_VPI_SingleVendor_Score =</w:t>
            </w:r>
          </w:p>
          <w:p>
            <w:pPr>
              <w:spacing w:after="20" w:before="20"/>
            </w:pPr>
            <w:r>
              <w:rPr>
                <w:rFonts w:ascii="Courier New" w:cs="Courier New" w:eastAsia="Courier New" w:hAnsi="Courier New"/>
                <w:color w:val="1E3A5F"/>
                <w:sz w:val="18"/>
                <w:szCs w:val="18"/>
              </w:rPr>
              <w:t xml:space="preserve">VAR A = [Awareness Score]</w:t>
            </w:r>
          </w:p>
          <w:p>
            <w:pPr>
              <w:spacing w:after="20" w:before="20"/>
            </w:pPr>
            <w:r>
              <w:rPr>
                <w:rFonts w:ascii="Courier New" w:cs="Courier New" w:eastAsia="Courier New" w:hAnsi="Courier New"/>
                <w:color w:val="1E3A5F"/>
                <w:sz w:val="18"/>
                <w:szCs w:val="18"/>
              </w:rPr>
              <w:t xml:space="preserve">VAR C = [Consideration Score]</w:t>
            </w:r>
          </w:p>
          <w:p>
            <w:pPr>
              <w:spacing w:after="20" w:before="20"/>
            </w:pPr>
            <w:r>
              <w:rPr>
                <w:rFonts w:ascii="Courier New" w:cs="Courier New" w:eastAsia="Courier New" w:hAnsi="Courier New"/>
                <w:color w:val="1E3A5F"/>
                <w:sz w:val="18"/>
                <w:szCs w:val="18"/>
              </w:rPr>
              <w:t xml:space="preserve">VAR E = [Evaluation Score]</w:t>
            </w:r>
          </w:p>
          <w:p>
            <w:pPr>
              <w:spacing w:after="20" w:before="20"/>
            </w:pPr>
            <w:r>
              <w:rPr>
                <w:rFonts w:ascii="Courier New" w:cs="Courier New" w:eastAsia="Courier New" w:hAnsi="Courier New"/>
                <w:color w:val="1E3A5F"/>
                <w:sz w:val="18"/>
                <w:szCs w:val="18"/>
              </w:rPr>
              <w:t xml:space="preserve">VAR V = [Conversion Score]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VAR A_Wt = IF(NOT ISBLANK(A), 0.15, 0)</w:t>
            </w:r>
          </w:p>
          <w:p>
            <w:pPr>
              <w:spacing w:after="20" w:before="20"/>
            </w:pPr>
            <w:r>
              <w:rPr>
                <w:rFonts w:ascii="Courier New" w:cs="Courier New" w:eastAsia="Courier New" w:hAnsi="Courier New"/>
                <w:color w:val="1E3A5F"/>
                <w:sz w:val="18"/>
                <w:szCs w:val="18"/>
              </w:rPr>
              <w:t xml:space="preserve">VAR C_Wt = IF(NOT ISBLANK(C), 0.20, 0)</w:t>
            </w:r>
          </w:p>
          <w:p>
            <w:pPr>
              <w:spacing w:after="20" w:before="20"/>
            </w:pPr>
            <w:r>
              <w:rPr>
                <w:rFonts w:ascii="Courier New" w:cs="Courier New" w:eastAsia="Courier New" w:hAnsi="Courier New"/>
                <w:color w:val="1E3A5F"/>
                <w:sz w:val="18"/>
                <w:szCs w:val="18"/>
              </w:rPr>
              <w:t xml:space="preserve">VAR E_Wt = IF(NOT ISBLANK(E), 0.25, 0)</w:t>
            </w:r>
          </w:p>
          <w:p>
            <w:pPr>
              <w:spacing w:after="20" w:before="20"/>
            </w:pPr>
            <w:r>
              <w:rPr>
                <w:rFonts w:ascii="Courier New" w:cs="Courier New" w:eastAsia="Courier New" w:hAnsi="Courier New"/>
                <w:color w:val="1E3A5F"/>
                <w:sz w:val="18"/>
                <w:szCs w:val="18"/>
              </w:rPr>
              <w:t xml:space="preserve">VAR V_Wt = IF(NOT ISBLANK(V), 0.40, 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VAR TotalWt = A_Wt + C_Wt + E_Wt + V_Wt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VAR WeightedSum =</w:t>
            </w:r>
          </w:p>
          <w:p>
            <w:pPr>
              <w:spacing w:after="20" w:before="20"/>
            </w:pPr>
            <w:r>
              <w:rPr>
                <w:rFonts w:ascii="Courier New" w:cs="Courier New" w:eastAsia="Courier New" w:hAnsi="Courier New"/>
                <w:color w:val="1E3A5F"/>
                <w:sz w:val="18"/>
                <w:szCs w:val="18"/>
              </w:rPr>
              <w:t xml:space="preserve">    IF(NOT ISBLANK(A), A * A_Wt, 0) +</w:t>
            </w:r>
          </w:p>
          <w:p>
            <w:pPr>
              <w:spacing w:after="20" w:before="20"/>
            </w:pPr>
            <w:r>
              <w:rPr>
                <w:rFonts w:ascii="Courier New" w:cs="Courier New" w:eastAsia="Courier New" w:hAnsi="Courier New"/>
                <w:color w:val="1E3A5F"/>
                <w:sz w:val="18"/>
                <w:szCs w:val="18"/>
              </w:rPr>
              <w:t xml:space="preserve">    IF(NOT ISBLANK(C), C * C_Wt, 0) +</w:t>
            </w:r>
          </w:p>
          <w:p>
            <w:pPr>
              <w:spacing w:after="20" w:before="20"/>
            </w:pPr>
            <w:r>
              <w:rPr>
                <w:rFonts w:ascii="Courier New" w:cs="Courier New" w:eastAsia="Courier New" w:hAnsi="Courier New"/>
                <w:color w:val="1E3A5F"/>
                <w:sz w:val="18"/>
                <w:szCs w:val="18"/>
              </w:rPr>
              <w:t xml:space="preserve">    IF(NOT ISBLANK(E), E * E_Wt, 0) +</w:t>
            </w:r>
          </w:p>
          <w:p>
            <w:pPr>
              <w:spacing w:after="20" w:before="20"/>
            </w:pPr>
            <w:r>
              <w:rPr>
                <w:rFonts w:ascii="Courier New" w:cs="Courier New" w:eastAsia="Courier New" w:hAnsi="Courier New"/>
                <w:color w:val="1E3A5F"/>
                <w:sz w:val="18"/>
                <w:szCs w:val="18"/>
              </w:rPr>
              <w:t xml:space="preserve">    IF(NOT ISBLANK(V), V * V_Wt, 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IF(TotalWt = 0, BLANK(), DIVIDE(WeightedSum, TotalWt))</w:t>
            </w:r>
          </w:p>
        </w:tc>
      </w:tr>
    </w:tbl>
    <w:p>
      <w:pPr>
        <w:spacing w:after="100" w:before="80"/>
      </w:pPr>
      <w:r>
        <w:t xml:space="preserve"/>
      </w:r>
    </w:p>
    <w:p>
      <w:pPr>
        <w:spacing w:after="100" w:before="60"/>
      </w:pPr>
      <w:r>
        <w:rPr>
          <w:rFonts w:ascii="Arial" w:cs="Arial" w:eastAsia="Arial" w:hAnsi="Arial"/>
          <w:color w:val="374151"/>
          <w:sz w:val="22"/>
          <w:szCs w:val="22"/>
        </w:rPr>
        <w:t xml:space="preserve">Example — Email Marketing participates in Consideration, Evaluation, and Conversion but has no Awareness data. Its effective weights become: C=23.5%, E=29.4%, V=47.1% (renormalized from 0.20+0.25+0.40 = 0.85 total).</w:t>
      </w:r>
    </w:p>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3. Component Reference</w:t>
      </w:r>
    </w:p>
    <w:p>
      <w:pPr>
        <w:spacing w:after="100" w:before="60"/>
      </w:pPr>
      <w:r>
        <w:rPr>
          <w:rFonts w:ascii="Arial" w:cs="Arial" w:eastAsia="Arial" w:hAnsi="Arial"/>
          <w:color w:val="374151"/>
          <w:sz w:val="22"/>
          <w:szCs w:val="22"/>
        </w:rPr>
        <w:t xml:space="preserve">The table below documents all 13 active component measures — the metric each one reads, the direction of scoring, and the base measure it draws from. One measure has been retired in Version 3.0.</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160"/>
        <w:gridCol w:w="3200"/>
      </w:tblGrid>
      <w:tr>
        <w:trPr>
          <w:tblHeader/>
        </w:trPr>
        <w:tc>
          <w:tcPr>
            <w:tcW w:type="dxa" w:w="32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Measure Name</w:t>
            </w:r>
          </w:p>
        </w:tc>
        <w:tc>
          <w:tcPr>
            <w:tcW w:type="dxa" w:w="18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1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32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Base Source</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Awareness (15%)</w:t>
            </w:r>
          </w:p>
        </w:tc>
      </w:tr>
      <w:tr>
        <w:tc>
          <w:tcPr>
            <w:tcW w:type="dxa" w:w="32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Awareness_Impressions_Percentile</w:t>
            </w:r>
          </w:p>
        </w:tc>
        <w:tc>
          <w:tcPr>
            <w:tcW w:type="dxa" w:w="18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Impressions</w:t>
            </w:r>
          </w:p>
        </w:tc>
        <w:tc>
          <w:tcPr>
            <w:tcW w:type="dxa" w:w="11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pPr>
              <w:jc w:val="center"/>
            </w:pPr>
            <w:r>
              <w:rPr>
                <w:rFonts w:ascii="Arial" w:cs="Arial" w:eastAsia="Arial" w:hAnsi="Arial"/>
                <w:b/>
                <w:bCs/>
                <w:color w:val="22C55E"/>
                <w:sz w:val="19"/>
                <w:szCs w:val="19"/>
              </w:rPr>
              <w:t xml:space="preserve">Higher</w:t>
            </w:r>
          </w:p>
        </w:tc>
        <w:tc>
          <w:tcPr>
            <w:tcW w:type="dxa" w:w="32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color w:val="64748B"/>
                <w:sz w:val="17"/>
                <w:szCs w:val="17"/>
              </w:rPr>
              <w:t xml:space="preserve">_Base_Impressions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Awareness_CTR_Percentile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CTR %</w:t>
            </w:r>
          </w:p>
        </w:tc>
        <w:tc>
          <w:tcPr>
            <w:tcW w:type="dxa" w:w="1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22C55E"/>
                <w:sz w:val="19"/>
                <w:szCs w:val="19"/>
              </w:rPr>
              <w:t xml:space="preserve">Higher</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64748B"/>
                <w:sz w:val="17"/>
                <w:szCs w:val="17"/>
              </w:rPr>
              <w:t xml:space="preserve">_Base_CTR</w:t>
            </w:r>
          </w:p>
        </w:tc>
      </w:tr>
      <w:tr>
        <w:tc>
          <w:tcPr>
            <w:tcW w:type="dxa" w:w="32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Awareness_CPC_Percentile</w:t>
            </w:r>
          </w:p>
        </w:tc>
        <w:tc>
          <w:tcPr>
            <w:tcW w:type="dxa" w:w="18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Cost per Click</w:t>
            </w:r>
          </w:p>
        </w:tc>
        <w:tc>
          <w:tcPr>
            <w:tcW w:type="dxa" w:w="11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pPr>
              <w:jc w:val="center"/>
            </w:pPr>
            <w:r>
              <w:rPr>
                <w:rFonts w:ascii="Arial" w:cs="Arial" w:eastAsia="Arial" w:hAnsi="Arial"/>
                <w:b/>
                <w:bCs/>
                <w:color w:val="F97316"/>
                <w:sz w:val="19"/>
                <w:szCs w:val="19"/>
              </w:rPr>
              <w:t xml:space="preserve">Lower ↓</w:t>
            </w:r>
          </w:p>
        </w:tc>
        <w:tc>
          <w:tcPr>
            <w:tcW w:type="dxa" w:w="32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color w:val="64748B"/>
                <w:sz w:val="17"/>
                <w:szCs w:val="17"/>
              </w:rPr>
              <w:t xml:space="preserve">_Base_CostPerClick</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Awareness_ClickToVisit_Percentile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Click-to-Visit %</w:t>
            </w:r>
          </w:p>
        </w:tc>
        <w:tc>
          <w:tcPr>
            <w:tcW w:type="dxa" w:w="1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22C55E"/>
                <w:sz w:val="19"/>
                <w:szCs w:val="19"/>
              </w:rPr>
              <w:t xml:space="preserve">Higher</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64748B"/>
                <w:sz w:val="17"/>
                <w:szCs w:val="17"/>
              </w:rPr>
              <w:t xml:space="preserve">_Base_ClickToVisitRate</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Consideration (20%)</w:t>
            </w:r>
          </w:p>
        </w:tc>
      </w:tr>
      <w:tr>
        <w:tc>
          <w:tcPr>
            <w:tcW w:type="dxa" w:w="3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Consideration_Visits_Percentile</w:t>
            </w:r>
          </w:p>
        </w:tc>
        <w:tc>
          <w:tcPr>
            <w:tcW w:type="dxa" w:w="18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Visits</w:t>
            </w:r>
          </w:p>
        </w:tc>
        <w:tc>
          <w:tcPr>
            <w:tcW w:type="dxa" w:w="1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pPr>
              <w:jc w:val="center"/>
            </w:pPr>
            <w:r>
              <w:rPr>
                <w:rFonts w:ascii="Arial" w:cs="Arial" w:eastAsia="Arial" w:hAnsi="Arial"/>
                <w:b/>
                <w:bCs/>
                <w:color w:val="22C55E"/>
                <w:sz w:val="19"/>
                <w:szCs w:val="19"/>
              </w:rPr>
              <w:t xml:space="preserve">Higher</w:t>
            </w:r>
          </w:p>
        </w:tc>
        <w:tc>
          <w:tcPr>
            <w:tcW w:type="dxa" w:w="3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color w:val="64748B"/>
                <w:sz w:val="17"/>
                <w:szCs w:val="17"/>
              </w:rPr>
              <w:t xml:space="preserve">_Base_Visits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Consideration_CPV_Percentile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Cost per Visit</w:t>
            </w:r>
          </w:p>
        </w:tc>
        <w:tc>
          <w:tcPr>
            <w:tcW w:type="dxa" w:w="1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F97316"/>
                <w:sz w:val="19"/>
                <w:szCs w:val="19"/>
              </w:rPr>
              <w:t xml:space="preserve">Lower ↓</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64748B"/>
                <w:sz w:val="17"/>
                <w:szCs w:val="17"/>
              </w:rPr>
              <w:t xml:space="preserve">_Base_CostPerVisit</w:t>
            </w:r>
          </w:p>
        </w:tc>
      </w:tr>
      <w:tr>
        <w:tc>
          <w:tcPr>
            <w:tcW w:type="dxa" w:w="3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Consideration_VisitToLead_Percentile</w:t>
            </w:r>
          </w:p>
        </w:tc>
        <w:tc>
          <w:tcPr>
            <w:tcW w:type="dxa" w:w="18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Visit-to-Lead %</w:t>
            </w:r>
          </w:p>
        </w:tc>
        <w:tc>
          <w:tcPr>
            <w:tcW w:type="dxa" w:w="1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pPr>
              <w:jc w:val="center"/>
            </w:pPr>
            <w:r>
              <w:rPr>
                <w:rFonts w:ascii="Arial" w:cs="Arial" w:eastAsia="Arial" w:hAnsi="Arial"/>
                <w:b/>
                <w:bCs/>
                <w:color w:val="22C55E"/>
                <w:sz w:val="19"/>
                <w:szCs w:val="19"/>
              </w:rPr>
              <w:t xml:space="preserve">Higher</w:t>
            </w:r>
          </w:p>
        </w:tc>
        <w:tc>
          <w:tcPr>
            <w:tcW w:type="dxa" w:w="3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color w:val="64748B"/>
                <w:sz w:val="17"/>
                <w:szCs w:val="17"/>
              </w:rPr>
              <w:t xml:space="preserve">_Base_VisitToLeadRate</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Evaluation (25%)</w:t>
            </w:r>
          </w:p>
        </w:tc>
      </w:tr>
      <w:tr>
        <w:tc>
          <w:tcPr>
            <w:tcW w:type="dxa" w:w="32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Evaluation_Leads_Percentile</w:t>
            </w:r>
          </w:p>
        </w:tc>
        <w:tc>
          <w:tcPr>
            <w:tcW w:type="dxa" w:w="18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color w:val="374151"/>
                <w:sz w:val="19"/>
                <w:szCs w:val="19"/>
              </w:rPr>
              <w:t xml:space="preserve">Leads</w:t>
            </w:r>
          </w:p>
        </w:tc>
        <w:tc>
          <w:tcPr>
            <w:tcW w:type="dxa" w:w="11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pPr>
              <w:jc w:val="center"/>
            </w:pPr>
            <w:r>
              <w:rPr>
                <w:rFonts w:ascii="Arial" w:cs="Arial" w:eastAsia="Arial" w:hAnsi="Arial"/>
                <w:b/>
                <w:bCs/>
                <w:color w:val="22C55E"/>
                <w:sz w:val="19"/>
                <w:szCs w:val="19"/>
              </w:rPr>
              <w:t xml:space="preserve">Higher</w:t>
            </w:r>
          </w:p>
        </w:tc>
        <w:tc>
          <w:tcPr>
            <w:tcW w:type="dxa" w:w="32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Courier New" w:cs="Courier New" w:eastAsia="Courier New" w:hAnsi="Courier New"/>
                <w:color w:val="64748B"/>
                <w:sz w:val="17"/>
                <w:szCs w:val="17"/>
              </w:rPr>
              <w:t xml:space="preserve">_Base_Leads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Evaluation_CPL_Percentile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Cost per Lead</w:t>
            </w:r>
          </w:p>
        </w:tc>
        <w:tc>
          <w:tcPr>
            <w:tcW w:type="dxa" w:w="1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F97316"/>
                <w:sz w:val="19"/>
                <w:szCs w:val="19"/>
              </w:rPr>
              <w:t xml:space="preserve">Lower ↓</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64748B"/>
                <w:sz w:val="17"/>
                <w:szCs w:val="17"/>
              </w:rPr>
              <w:t xml:space="preserve">_Base_CostPerLead</w:t>
            </w:r>
          </w:p>
        </w:tc>
      </w:tr>
      <w:tr>
        <w:tc>
          <w:tcPr>
            <w:tcW w:type="dxa" w:w="32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Evaluation_LeadToLease_Percentile</w:t>
            </w:r>
          </w:p>
        </w:tc>
        <w:tc>
          <w:tcPr>
            <w:tcW w:type="dxa" w:w="18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color w:val="374151"/>
                <w:sz w:val="19"/>
                <w:szCs w:val="19"/>
              </w:rPr>
              <w:t xml:space="preserve">Lead-to-Lease %</w:t>
            </w:r>
          </w:p>
        </w:tc>
        <w:tc>
          <w:tcPr>
            <w:tcW w:type="dxa" w:w="11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pPr>
              <w:jc w:val="center"/>
            </w:pPr>
            <w:r>
              <w:rPr>
                <w:rFonts w:ascii="Arial" w:cs="Arial" w:eastAsia="Arial" w:hAnsi="Arial"/>
                <w:b/>
                <w:bCs/>
                <w:color w:val="22C55E"/>
                <w:sz w:val="19"/>
                <w:szCs w:val="19"/>
              </w:rPr>
              <w:t xml:space="preserve">Higher</w:t>
            </w:r>
          </w:p>
        </w:tc>
        <w:tc>
          <w:tcPr>
            <w:tcW w:type="dxa" w:w="32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Courier New" w:cs="Courier New" w:eastAsia="Courier New" w:hAnsi="Courier New"/>
                <w:color w:val="64748B"/>
                <w:sz w:val="17"/>
                <w:szCs w:val="17"/>
              </w:rPr>
              <w:t xml:space="preserve">_Base_LeadToLeaseRate</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Conversion (40%)</w:t>
            </w:r>
          </w:p>
        </w:tc>
      </w:tr>
      <w:tr>
        <w:tc>
          <w:tcPr>
            <w:tcW w:type="dxa" w:w="32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Conversion_NewLeases_Percentile</w:t>
            </w:r>
          </w:p>
        </w:tc>
        <w:tc>
          <w:tcPr>
            <w:tcW w:type="dxa" w:w="18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New Leases (Funnel)</w:t>
            </w:r>
          </w:p>
        </w:tc>
        <w:tc>
          <w:tcPr>
            <w:tcW w:type="dxa" w:w="11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pPr>
              <w:jc w:val="center"/>
            </w:pPr>
            <w:r>
              <w:rPr>
                <w:rFonts w:ascii="Arial" w:cs="Arial" w:eastAsia="Arial" w:hAnsi="Arial"/>
                <w:b/>
                <w:bCs/>
                <w:color w:val="22C55E"/>
                <w:sz w:val="19"/>
                <w:szCs w:val="19"/>
              </w:rPr>
              <w:t xml:space="preserve">Higher</w:t>
            </w:r>
          </w:p>
        </w:tc>
        <w:tc>
          <w:tcPr>
            <w:tcW w:type="dxa" w:w="32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color w:val="64748B"/>
                <w:sz w:val="17"/>
                <w:szCs w:val="17"/>
              </w:rPr>
              <w:t xml:space="preserve">_Base_NewLeases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Conversion_CostPerLease_Percentile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Cost per Lease</w:t>
            </w:r>
          </w:p>
        </w:tc>
        <w:tc>
          <w:tcPr>
            <w:tcW w:type="dxa" w:w="1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bCs/>
                <w:color w:val="F97316"/>
                <w:sz w:val="19"/>
                <w:szCs w:val="19"/>
              </w:rPr>
              <w:t xml:space="preserve">Lower ↓</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64748B"/>
                <w:sz w:val="17"/>
                <w:szCs w:val="17"/>
              </w:rPr>
              <w:t xml:space="preserve">_Base_CostPerLease</w:t>
            </w:r>
          </w:p>
        </w:tc>
      </w:tr>
      <w:tr>
        <w:tc>
          <w:tcPr>
            <w:tcW w:type="dxa" w:w="32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Conversion_SellRate_Percentile</w:t>
            </w:r>
          </w:p>
        </w:tc>
        <w:tc>
          <w:tcPr>
            <w:tcW w:type="dxa" w:w="18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Sell Rate (Vendor)</w:t>
            </w:r>
          </w:p>
        </w:tc>
        <w:tc>
          <w:tcPr>
            <w:tcW w:type="dxa" w:w="11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pPr>
              <w:jc w:val="center"/>
            </w:pPr>
            <w:r>
              <w:rPr>
                <w:rFonts w:ascii="Arial" w:cs="Arial" w:eastAsia="Arial" w:hAnsi="Arial"/>
                <w:b/>
                <w:bCs/>
                <w:color w:val="22C55E"/>
                <w:sz w:val="19"/>
                <w:szCs w:val="19"/>
              </w:rPr>
              <w:t xml:space="preserve">Higher</w:t>
            </w:r>
          </w:p>
        </w:tc>
        <w:tc>
          <w:tcPr>
            <w:tcW w:type="dxa" w:w="32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color w:val="64748B"/>
                <w:sz w:val="17"/>
                <w:szCs w:val="17"/>
              </w:rPr>
              <w:t xml:space="preserve">Sell Rate (Vendor)</w:t>
            </w:r>
          </w:p>
        </w:tc>
      </w:tr>
    </w:tbl>
    <w:p>
      <w:pPr>
        <w:spacing w:after="100" w:before="12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3.1 Vendor Sell Rate — Special Note</w:t>
      </w:r>
    </w:p>
    <w:p>
      <w:pPr>
        <w:spacing w:after="100" w:before="60"/>
      </w:pPr>
      <w:r>
        <w:rPr>
          <w:rFonts w:ascii="Arial" w:cs="Arial" w:eastAsia="Arial" w:hAnsi="Arial"/>
          <w:color w:val="374151"/>
          <w:sz w:val="22"/>
          <w:szCs w:val="22"/>
        </w:rPr>
        <w:t xml:space="preserve">Sell Rate (Vendor) is a purpose-built measure that replaces the portfolio-level Sell Rate for vendor scoring. The portfolio Sell Rate uses New Leases (Actual) from fact_leasing_daily — a property-level measure with no vendor dimension, meaning every vendor at the same property would receive the identical denominator.</w:t>
      </w:r>
    </w:p>
    <w:p>
      <w:pPr>
        <w:spacing w:after="100" w:before="60"/>
      </w:pPr>
      <w:r>
        <w:rPr>
          <w:rFonts w:ascii="Arial" w:cs="Arial" w:eastAsia="Arial" w:hAnsi="Arial"/>
          <w:color w:val="374151"/>
          <w:sz w:val="22"/>
          <w:szCs w:val="22"/>
        </w:rPr>
        <w:t xml:space="preserve">Sell Rate (Vendor) instead uses New Leases (Funnel) from fact_marketing_funnel_daily, which carries a VendorKey and correctly filters by vendor in context. The denominator is Vacant Units (Period Start) — the count of vacant units at the first day of the selected period — which represents the actual leasing opportunity the vendor was competing for.</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Sell Rate (Vendor) =</w:t>
            </w:r>
          </w:p>
          <w:p>
            <w:pPr>
              <w:spacing w:after="20" w:before="20"/>
            </w:pPr>
            <w:r>
              <w:rPr>
                <w:rFonts w:ascii="Courier New" w:cs="Courier New" w:eastAsia="Courier New" w:hAnsi="Courier New"/>
                <w:color w:val="1E3A5F"/>
                <w:sz w:val="18"/>
                <w:szCs w:val="18"/>
              </w:rPr>
              <w:t xml:space="preserve">DIVIDE(</w:t>
            </w:r>
          </w:p>
          <w:p>
            <w:pPr>
              <w:spacing w:after="20" w:before="20"/>
            </w:pPr>
            <w:r>
              <w:rPr>
                <w:rFonts w:ascii="Courier New" w:cs="Courier New" w:eastAsia="Courier New" w:hAnsi="Courier New"/>
                <w:color w:val="1E3A5F"/>
                <w:sz w:val="18"/>
                <w:szCs w:val="18"/>
              </w:rPr>
              <w:t xml:space="preserve">    [New Leases (Funnel)],</w:t>
            </w:r>
          </w:p>
          <w:p>
            <w:pPr>
              <w:spacing w:after="20" w:before="20"/>
            </w:pPr>
            <w:r>
              <w:rPr>
                <w:rFonts w:ascii="Courier New" w:cs="Courier New" w:eastAsia="Courier New" w:hAnsi="Courier New"/>
                <w:color w:val="1E3A5F"/>
                <w:sz w:val="18"/>
                <w:szCs w:val="18"/>
              </w:rPr>
              <w:t xml:space="preserve">    [Vacant Units (Period Start)]</w:t>
            </w:r>
          </w:p>
          <w:p>
            <w:pPr>
              <w:spacing w:after="20" w:before="20"/>
            </w:pPr>
            <w:r>
              <w:rPr>
                <w:rFonts w:ascii="Courier New" w:cs="Courier New" w:eastAsia="Courier New" w:hAnsi="Courier New"/>
                <w:color w:val="1E3A5F"/>
                <w:sz w:val="18"/>
                <w:szCs w:val="18"/>
              </w:rPr>
              <w:t xml:space="preserve">) * (30 / [_DaysInFilter])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Vacant Units (Period Start):</w:t>
            </w:r>
          </w:p>
          <w:p>
            <w:pPr>
              <w:spacing w:after="20" w:before="20"/>
            </w:pPr>
            <w:r>
              <w:rPr>
                <w:rFonts w:ascii="Courier New" w:cs="Courier New" w:eastAsia="Courier New" w:hAnsi="Courier New"/>
                <w:color w:val="1E3A5F"/>
                <w:sz w:val="18"/>
                <w:szCs w:val="18"/>
              </w:rPr>
              <w:t xml:space="preserve">VAR AsOfDate = MIN(dim_date[Date])</w:t>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CALCULATE(</w:t>
            </w:r>
          </w:p>
          <w:p>
            <w:pPr>
              <w:spacing w:after="20" w:before="20"/>
            </w:pPr>
            <w:r>
              <w:rPr>
                <w:rFonts w:ascii="Courier New" w:cs="Courier New" w:eastAsia="Courier New" w:hAnsi="Courier New"/>
                <w:color w:val="1E3A5F"/>
                <w:sz w:val="18"/>
                <w:szCs w:val="18"/>
              </w:rPr>
              <w:t xml:space="preserve">    SUM(fact_property_ops_daily[VacantUnits]),</w:t>
            </w:r>
          </w:p>
          <w:p>
            <w:pPr>
              <w:spacing w:after="20" w:before="20"/>
            </w:pPr>
            <w:r>
              <w:rPr>
                <w:rFonts w:ascii="Courier New" w:cs="Courier New" w:eastAsia="Courier New" w:hAnsi="Courier New"/>
                <w:color w:val="1E3A5F"/>
                <w:sz w:val="18"/>
                <w:szCs w:val="18"/>
              </w:rPr>
              <w:t xml:space="preserve">    dim_date[Date] = AsOfDate</w:t>
            </w:r>
          </w:p>
          <w:p>
            <w:pPr>
              <w:spacing w:after="20" w:before="20"/>
            </w:pPr>
            <w:r>
              <w:rPr>
                <w:rFonts w:ascii="Courier New" w:cs="Courier New" w:eastAsia="Courier New" w:hAnsi="Courier New"/>
                <w:color w:val="1E3A5F"/>
                <w:sz w:val="18"/>
                <w:szCs w:val="18"/>
              </w:rPr>
              <w:t xml:space="preserve">)</w:t>
            </w:r>
          </w:p>
        </w:tc>
      </w:tr>
    </w:tbl>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3.2 Retired Component</w:t>
      </w:r>
    </w:p>
    <w:p>
      <w:pPr>
        <w:spacing w:after="100" w:before="60"/>
      </w:pPr>
      <w:r>
        <w:rPr>
          <w:rFonts w:ascii="Arial" w:cs="Arial" w:eastAsia="Arial" w:hAnsi="Arial"/>
          <w:color w:val="374151"/>
          <w:sz w:val="22"/>
          <w:szCs w:val="22"/>
        </w:rPr>
        <w:t xml:space="preserve">Conversion_ImpToLease_Percentile has been moved to 11 - Quarantine. It divided AttributedCredit from fact_prospect_journey by Impressions from fact_marketing_funnel_daily — mixing two unrelated tables. Email Marketing and other non-impression channels had no impressions denominator, so this component always returned BLANK for those vendors, effectively zeroing out one quarter of their Conversion Score. The remaining three conversion components (NewLeases, CostPerLease, SellRate) at 33/34/33% provide equivalent signal without the cross-table dependency.</w:t>
      </w:r>
    </w:p>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4. Performance Tiers</w:t>
      </w:r>
    </w:p>
    <w:p>
      <w:pPr>
        <w:spacing w:after="100" w:before="60"/>
      </w:pPr>
      <w:r>
        <w:rPr>
          <w:rFonts w:ascii="Arial" w:cs="Arial" w:eastAsia="Arial" w:hAnsi="Arial"/>
          <w:color w:val="374151"/>
          <w:sz w:val="22"/>
          <w:szCs w:val="22"/>
        </w:rPr>
        <w:t xml:space="preserve">The VPI score is translated into a named performance tier. The thresholds reflect the benchmark credit system: a vendor scoring 75 has met or exceeded the benchmark on a weighted basis across its participating stages. A vendor scoring below 35 is performing at less than 25% of benchmark on most metrics.</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1600"/>
        <w:gridCol w:w="1200"/>
        <w:gridCol w:w="6240"/>
      </w:tblGrid>
      <w:tr>
        <w:trPr>
          <w:tblHeader/>
        </w:trPr>
        <w:tc>
          <w:tcPr>
            <w:tcW w:type="dxa" w:w="32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16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2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624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32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160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vAlign w:val="center"/>
          </w:tcPr>
          <w:p>
            <w:r>
              <w:rPr>
                <w:rFonts w:ascii="Arial" w:cs="Arial" w:eastAsia="Arial" w:hAnsi="Arial"/>
                <w:b/>
                <w:bCs/>
                <w:color w:val="22C55E"/>
                <w:sz w:val="20"/>
                <w:szCs w:val="20"/>
              </w:rPr>
              <w:t xml:space="preserve">Top Performer</w:t>
            </w:r>
          </w:p>
        </w:tc>
        <w:tc>
          <w:tcPr>
            <w:tcW w:type="dxa" w:w="120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vAlign w:val="center"/>
          </w:tcPr>
          <w:p>
            <w:r>
              <w:rPr>
                <w:rFonts w:ascii="Courier New" w:cs="Courier New" w:eastAsia="Courier New" w:hAnsi="Courier New"/>
                <w:color w:val="374151"/>
                <w:sz w:val="20"/>
                <w:szCs w:val="20"/>
              </w:rPr>
              <w:t xml:space="preserve">≥ 75</w:t>
            </w:r>
          </w:p>
        </w:tc>
        <w:tc>
          <w:tcPr>
            <w:tcW w:type="dxa" w:w="624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vAlign w:val="center"/>
          </w:tcPr>
          <w:p>
            <w:r>
              <w:rPr>
                <w:rFonts w:ascii="Arial" w:cs="Arial" w:eastAsia="Arial" w:hAnsi="Arial"/>
                <w:color w:val="374151"/>
                <w:sz w:val="20"/>
                <w:szCs w:val="20"/>
              </w:rPr>
              <w:t xml:space="preserve">At or significantly above benchmark across multiple funnel stages. Consistent, scalable, highest ROI.</w:t>
            </w:r>
          </w:p>
        </w:tc>
      </w:tr>
      <w:tr>
        <w:tc>
          <w:tcPr>
            <w:tcW w:type="dxa" w:w="32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160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vAlign w:val="center"/>
          </w:tcPr>
          <w:p>
            <w:r>
              <w:rPr>
                <w:rFonts w:ascii="Arial" w:cs="Arial" w:eastAsia="Arial" w:hAnsi="Arial"/>
                <w:b/>
                <w:bCs/>
                <w:color w:val="D4AF37"/>
                <w:sz w:val="20"/>
                <w:szCs w:val="20"/>
              </w:rPr>
              <w:t xml:space="preserve">Performing</w:t>
            </w:r>
          </w:p>
        </w:tc>
        <w:tc>
          <w:tcPr>
            <w:tcW w:type="dxa" w:w="120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vAlign w:val="center"/>
          </w:tcPr>
          <w:p>
            <w:r>
              <w:rPr>
                <w:rFonts w:ascii="Courier New" w:cs="Courier New" w:eastAsia="Courier New" w:hAnsi="Courier New"/>
                <w:color w:val="374151"/>
                <w:sz w:val="20"/>
                <w:szCs w:val="20"/>
              </w:rPr>
              <w:t xml:space="preserve">60–74</w:t>
            </w:r>
          </w:p>
        </w:tc>
        <w:tc>
          <w:tcPr>
            <w:tcW w:type="dxa" w:w="624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vAlign w:val="center"/>
          </w:tcPr>
          <w:p>
            <w:r>
              <w:rPr>
                <w:rFonts w:ascii="Arial" w:cs="Arial" w:eastAsia="Arial" w:hAnsi="Arial"/>
                <w:color w:val="374151"/>
                <w:sz w:val="20"/>
                <w:szCs w:val="20"/>
              </w:rPr>
              <w:t xml:space="preserve">Above benchmark on most stages. Reliable performer with room to push further on weaker stages.</w:t>
            </w:r>
          </w:p>
        </w:tc>
      </w:tr>
      <w:tr>
        <w:tc>
          <w:tcPr>
            <w:tcW w:type="dxa" w:w="32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16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center"/>
          </w:tcPr>
          <w:p>
            <w:r>
              <w:rPr>
                <w:rFonts w:ascii="Arial" w:cs="Arial" w:eastAsia="Arial" w:hAnsi="Arial"/>
                <w:b/>
                <w:bCs/>
                <w:color w:val="F97316"/>
                <w:sz w:val="20"/>
                <w:szCs w:val="20"/>
              </w:rPr>
              <w:t xml:space="preserve">Watch</w:t>
            </w:r>
          </w:p>
        </w:tc>
        <w:tc>
          <w:tcPr>
            <w:tcW w:type="dxa" w:w="12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center"/>
          </w:tcPr>
          <w:p>
            <w:r>
              <w:rPr>
                <w:rFonts w:ascii="Courier New" w:cs="Courier New" w:eastAsia="Courier New" w:hAnsi="Courier New"/>
                <w:color w:val="374151"/>
                <w:sz w:val="20"/>
                <w:szCs w:val="20"/>
              </w:rPr>
              <w:t xml:space="preserve">48–59</w:t>
            </w:r>
          </w:p>
        </w:tc>
        <w:tc>
          <w:tcPr>
            <w:tcW w:type="dxa" w:w="624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center"/>
          </w:tcPr>
          <w:p>
            <w:r>
              <w:rPr>
                <w:rFonts w:ascii="Arial" w:cs="Arial" w:eastAsia="Arial" w:hAnsi="Arial"/>
                <w:color w:val="374151"/>
                <w:sz w:val="20"/>
                <w:szCs w:val="20"/>
              </w:rPr>
              <w:t xml:space="preserve">Near benchmark — some stages solid, others lagging. Monitor closely and identify which stage is dragging.</w:t>
            </w:r>
          </w:p>
        </w:tc>
      </w:tr>
      <w:tr>
        <w:tc>
          <w:tcPr>
            <w:tcW w:type="dxa" w:w="32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16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r>
              <w:rPr>
                <w:rFonts w:ascii="Arial" w:cs="Arial" w:eastAsia="Arial" w:hAnsi="Arial"/>
                <w:b/>
                <w:bCs/>
                <w:color w:val="DC2626"/>
                <w:sz w:val="20"/>
                <w:szCs w:val="20"/>
              </w:rPr>
              <w:t xml:space="preserve">Needs Attention</w:t>
            </w:r>
          </w:p>
        </w:tc>
        <w:tc>
          <w:tcPr>
            <w:tcW w:type="dxa" w:w="12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r>
              <w:rPr>
                <w:rFonts w:ascii="Courier New" w:cs="Courier New" w:eastAsia="Courier New" w:hAnsi="Courier New"/>
                <w:color w:val="374151"/>
                <w:sz w:val="20"/>
                <w:szCs w:val="20"/>
              </w:rPr>
              <w:t xml:space="preserve">35–47</w:t>
            </w:r>
          </w:p>
        </w:tc>
        <w:tc>
          <w:tcPr>
            <w:tcW w:type="dxa" w:w="624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r>
              <w:rPr>
                <w:rFonts w:ascii="Arial" w:cs="Arial" w:eastAsia="Arial" w:hAnsi="Arial"/>
                <w:color w:val="374151"/>
                <w:sz w:val="20"/>
                <w:szCs w:val="20"/>
              </w:rPr>
              <w:t xml:space="preserve">Below benchmark on multiple stages. Needs targeted improvement or budget reallocation review.</w:t>
            </w:r>
          </w:p>
        </w:tc>
      </w:tr>
      <w:tr>
        <w:tc>
          <w:tcPr>
            <w:tcW w:type="dxa" w:w="32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16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r>
              <w:rPr>
                <w:rFonts w:ascii="Arial" w:cs="Arial" w:eastAsia="Arial" w:hAnsi="Arial"/>
                <w:b/>
                <w:bCs/>
                <w:color w:val="991B1B"/>
                <w:sz w:val="20"/>
                <w:szCs w:val="20"/>
              </w:rPr>
              <w:t xml:space="preserve">At Risk</w:t>
            </w:r>
          </w:p>
        </w:tc>
        <w:tc>
          <w:tcPr>
            <w:tcW w:type="dxa" w:w="12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r>
              <w:rPr>
                <w:rFonts w:ascii="Courier New" w:cs="Courier New" w:eastAsia="Courier New" w:hAnsi="Courier New"/>
                <w:color w:val="374151"/>
                <w:sz w:val="20"/>
                <w:szCs w:val="20"/>
              </w:rPr>
              <w:t xml:space="preserve">&lt; 35</w:t>
            </w:r>
          </w:p>
        </w:tc>
        <w:tc>
          <w:tcPr>
            <w:tcW w:type="dxa" w:w="624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r>
              <w:rPr>
                <w:rFonts w:ascii="Arial" w:cs="Arial" w:eastAsia="Arial" w:hAnsi="Arial"/>
                <w:color w:val="374151"/>
                <w:sz w:val="20"/>
                <w:szCs w:val="20"/>
              </w:rPr>
              <w:t xml:space="preserve">Significantly underperforming benchmark across most stages. Review or remove from active spend.</w:t>
            </w:r>
          </w:p>
        </w:tc>
      </w:tr>
    </w:tbl>
    <w:p>
      <w:pPr>
        <w:spacing w:after="100" w:before="12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4.1 Tier Measure Variants</w:t>
      </w:r>
    </w:p>
    <w:p>
      <w:pPr>
        <w:spacing w:after="100" w:before="60"/>
      </w:pPr>
      <w:r>
        <w:rPr>
          <w:rFonts w:ascii="Arial" w:cs="Arial" w:eastAsia="Arial" w:hAnsi="Arial"/>
          <w:color w:val="374151"/>
          <w:sz w:val="22"/>
          <w:szCs w:val="22"/>
        </w:rPr>
        <w:t xml:space="preserve">Multiple tier measures exist for different display contexts. The canonical thresholds (75/60/48/35) are used in VPI Performance Tier and VPI_Status. Note that VPI_Status_Color and VPI_Status_SortKey use different breakpoints (75/50/25) — these should be aligned to the canonical thresholds in a future cleanup pass.</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4.2 VPI Consistency</w:t>
      </w:r>
    </w:p>
    <w:p>
      <w:pPr>
        <w:spacing w:after="100" w:before="60"/>
      </w:pPr>
      <w:r>
        <w:rPr>
          <w:rFonts w:ascii="Arial" w:cs="Arial" w:eastAsia="Arial" w:hAnsi="Arial"/>
          <w:color w:val="374151"/>
          <w:sz w:val="22"/>
          <w:szCs w:val="22"/>
        </w:rPr>
        <w:t xml:space="preserve">VPI Consistency is a separate signal from the tier — it measures how evenly the score is distributed across all four funnel stages. A vendor can be Elite but Very Inconsistent if one stage dominates while others are weak. That is actually a more actionable finding than a uniformly moderate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Stage Range</w:t>
            </w:r>
          </w:p>
        </w:tc>
        <w:tc>
          <w:tcPr>
            <w:tcW w:type="dxa" w:w="20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Consistency</w:t>
            </w:r>
          </w:p>
        </w:tc>
        <w:tc>
          <w:tcPr>
            <w:tcW w:type="dxa" w:w="55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9"/>
                <w:szCs w:val="19"/>
              </w:rPr>
              <w:t xml:space="preserve">≤ 10 pts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563EB"/>
                <w:sz w:val="19"/>
                <w:szCs w:val="19"/>
              </w:rPr>
              <w:t xml:space="preserve">Very Consistent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All stages within 10 points. Reliable and scalable across the full funnel.</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9"/>
                <w:szCs w:val="19"/>
              </w:rPr>
              <w:t xml:space="preserve">≤ 20 pts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563EB"/>
                <w:sz w:val="19"/>
                <w:szCs w:val="19"/>
              </w:rPr>
              <w:t xml:space="preserve">Consistent</w:t>
            </w:r>
          </w:p>
        </w:tc>
        <w:tc>
          <w:tcPr>
            <w:tcW w:type="dxa" w:w="5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Minor variance. Generally dependable investment.</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9"/>
                <w:szCs w:val="19"/>
              </w:rPr>
              <w:t xml:space="preserve">≤ 30 pts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563EB"/>
                <w:sz w:val="19"/>
                <w:szCs w:val="19"/>
              </w:rPr>
              <w:t xml:space="preserve">Moderate Variance</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Noticeable stage gaps. Identify the weak stage and address it.</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9"/>
                <w:szCs w:val="19"/>
              </w:rPr>
              <w:t xml:space="preserve">≤ 40 pts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563EB"/>
                <w:sz w:val="19"/>
                <w:szCs w:val="19"/>
              </w:rPr>
              <w:t xml:space="preserve">High Variance</w:t>
            </w:r>
          </w:p>
        </w:tc>
        <w:tc>
          <w:tcPr>
            <w:tcW w:type="dxa" w:w="5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One or two stages carrying the score. Fragile at scale.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9"/>
                <w:szCs w:val="19"/>
              </w:rPr>
              <w:t xml:space="preserve">&gt; 40 pts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563EB"/>
                <w:sz w:val="19"/>
                <w:szCs w:val="19"/>
              </w:rPr>
              <w:t xml:space="preserve">Very Inconsistent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One stage dominates. Channel has a fundamental funnel problem.</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5. Base Measure Helpers</w:t>
      </w:r>
    </w:p>
    <w:p>
      <w:pPr>
        <w:spacing w:after="100" w:before="60"/>
      </w:pPr>
      <w:r>
        <w:rPr>
          <w:rFonts w:ascii="Arial" w:cs="Arial" w:eastAsia="Arial" w:hAnsi="Arial"/>
          <w:color w:val="374151"/>
          <w:sz w:val="22"/>
          <w:szCs w:val="22"/>
        </w:rPr>
        <w:t xml:space="preserve">All 13 component measures draw from a set of shared base helpers that apply the 30-day minimum scoring window rule. If the current filter context has fewer than 30 days of data, the window automatically expands to the last 30 days from the maximum date to prevent unreliable scoring on thin data.</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-- 30-day minimum window pattern (applied in all _Base_ measures):</w:t>
            </w:r>
          </w:p>
          <w:p>
            <w:pPr>
              <w:spacing w:after="20" w:before="20"/>
            </w:pPr>
            <w:r>
              <w:rPr>
                <w:rFonts w:ascii="Courier New" w:cs="Courier New" w:eastAsia="Courier New" w:hAnsi="Courier New"/>
                <w:color w:val="1E3A5F"/>
                <w:sz w:val="18"/>
                <w:szCs w:val="18"/>
              </w:rPr>
              <w:t xml:space="preserve">VAR DaysInFilter = [_DaysInFilter]</w:t>
            </w:r>
          </w:p>
          <w:p>
            <w:pPr>
              <w:spacing w:after="20" w:before="20"/>
            </w:pPr>
            <w:r>
              <w:rPr>
                <w:rFonts w:ascii="Courier New" w:cs="Courier New" w:eastAsia="Courier New" w:hAnsi="Courier New"/>
                <w:color w:val="1E3A5F"/>
                <w:sz w:val="18"/>
                <w:szCs w:val="18"/>
              </w:rPr>
              <w:t xml:space="preserve">VAR MaxDate      = [_MaxDateInFilter]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IF(</w:t>
            </w:r>
          </w:p>
          <w:p>
            <w:pPr>
              <w:spacing w:after="20" w:before="20"/>
            </w:pPr>
            <w:r>
              <w:rPr>
                <w:rFonts w:ascii="Courier New" w:cs="Courier New" w:eastAsia="Courier New" w:hAnsi="Courier New"/>
                <w:color w:val="1E3A5F"/>
                <w:sz w:val="18"/>
                <w:szCs w:val="18"/>
              </w:rPr>
              <w:t xml:space="preserve">    DaysInFilter &lt; 30,</w:t>
            </w:r>
          </w:p>
          <w:p>
            <w:pPr>
              <w:spacing w:after="20" w:before="20"/>
            </w:pPr>
            <w:r>
              <w:rPr>
                <w:rFonts w:ascii="Courier New" w:cs="Courier New" w:eastAsia="Courier New" w:hAnsi="Courier New"/>
                <w:color w:val="1E3A5F"/>
                <w:sz w:val="18"/>
                <w:szCs w:val="18"/>
              </w:rPr>
              <w:t xml:space="preserve">    CALCULATE([metric], DATESINPERIOD(dim_date[Date], MaxDate, -30, DAY)),</w:t>
            </w:r>
          </w:p>
          <w:p>
            <w:pPr>
              <w:spacing w:after="20" w:before="20"/>
            </w:pPr>
            <w:r>
              <w:rPr>
                <w:rFonts w:ascii="Courier New" w:cs="Courier New" w:eastAsia="Courier New" w:hAnsi="Courier New"/>
                <w:color w:val="1E3A5F"/>
                <w:sz w:val="18"/>
                <w:szCs w:val="18"/>
              </w:rPr>
              <w:t xml:space="preserve">    [metric]</w:t>
            </w:r>
          </w:p>
          <w:p>
            <w:pPr>
              <w:spacing w:after="20" w:before="20"/>
            </w:pPr>
            <w:r>
              <w:rPr>
                <w:rFonts w:ascii="Courier New" w:cs="Courier New" w:eastAsia="Courier New" w:hAnsi="Courier New"/>
                <w:color w:val="1E3A5F"/>
                <w:sz w:val="18"/>
                <w:szCs w:val="18"/>
              </w:rPr>
              <w:t xml:space="preserve">)</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Base Measure</w:t>
            </w:r>
          </w:p>
        </w:tc>
        <w:tc>
          <w:tcPr>
            <w:tcW w:type="dxa" w:w="18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Folder</w:t>
            </w:r>
          </w:p>
        </w:tc>
        <w:tc>
          <w:tcPr>
            <w:tcW w:type="dxa" w:w="47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Source &amp;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_DaysInFilter</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8"/>
                <w:szCs w:val="18"/>
              </w:rPr>
              <w:t xml:space="preserve">10 - Helpers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Count of days in current date filter context.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_MaxDateInFilter</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8"/>
                <w:szCs w:val="18"/>
              </w:rPr>
              <w:t xml:space="preserve">10 - Helpers</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Latest date in current filter context.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_Base_Impressions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8"/>
                <w:szCs w:val="18"/>
              </w:rPr>
              <w:t xml:space="preserve">10 - Helpers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Impressions with 30-day minimum window. Sources from fact_marketing_funnel_daily.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_Base_CTR</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8"/>
                <w:szCs w:val="18"/>
              </w:rPr>
              <w:t xml:space="preserve">10 - Helpers</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CTR% with 30-day minimum window. Sources from fact_marketing_funnel_daily via [CTR %].</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_Base_CostPerClick</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8"/>
                <w:szCs w:val="18"/>
              </w:rPr>
              <w:t xml:space="preserve">10 - Helpers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CPC with 30-day minimum window. Sources from fact_marketing_funnel_daily via [Cost per Click].</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_Base_ClickToVisitRate</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8"/>
                <w:szCs w:val="18"/>
              </w:rPr>
              <w:t xml:space="preserve">10 - Helpers</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Click-to-visit rate with 30-day minimum window.</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_Base_Visits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8"/>
                <w:szCs w:val="18"/>
              </w:rPr>
              <w:t xml:space="preserve">03 - Attributed</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Visit count from fact_prospect_journey FunnelStageKey=3 with USERELATIONSHIP. 30-day minimum window.</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_Base_CostPerVisit</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8"/>
                <w:szCs w:val="18"/>
              </w:rPr>
              <w:t xml:space="preserve">03 - Attributed</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Spend / visits from fact_prospect_journey FunnelStageKey=3. 30-day minimum window.</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_Base_VisitToLeadRate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8"/>
                <w:szCs w:val="18"/>
              </w:rPr>
              <w:t xml:space="preserve">10 - Helpers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Visit-to-lead rate with 30-day minimum window.</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_Base_Leads</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8"/>
                <w:szCs w:val="18"/>
              </w:rPr>
              <w:t xml:space="preserve">03 - Attributed</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Lead count from fact_prospect_journey FunnelStageKey=4 with USERELATIONSHIP. 30-day minimum window.</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_Base_CostPerLead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8"/>
                <w:szCs w:val="18"/>
              </w:rPr>
              <w:t xml:space="preserve">03 - Attributed</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Spend / leads from fact_prospect_journey FunnelStageKey=4. 30-day minimum window.</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_Base_LeadToLeaseRate</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8"/>
                <w:szCs w:val="18"/>
              </w:rPr>
              <w:t xml:space="preserve">03 - Attributed</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AttributedCredit (Converted=TRUE) / leads from fact_prospect_journey. No 30-day window — uses raw filter context.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_Base_NewLeases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8"/>
                <w:szCs w:val="18"/>
              </w:rPr>
              <w:t xml:space="preserve">10 - Helpers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New Leases (Funnel) from fact_marketing_funnel_daily with 30-day minimum window.</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_Base_CostPerLease</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8"/>
                <w:szCs w:val="18"/>
              </w:rPr>
              <w:t xml:space="preserve">03 - Attributed</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Spend / AttributedCredit (Converted=TRUE) from fact_prospect_journey. 30-day minimum window.</w:t>
            </w:r>
          </w:p>
        </w:tc>
      </w:tr>
      <w:tr>
        <w:tc>
          <w:tcPr>
            <w:tcW w:type="dxa" w:w="28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tcPr>
          <w:p>
            <w:r>
              <w:rPr>
                <w:rFonts w:ascii="Courier New" w:cs="Courier New" w:eastAsia="Courier New" w:hAnsi="Courier New"/>
                <w:b/>
                <w:bCs/>
                <w:color w:val="DC2626"/>
                <w:sz w:val="17"/>
                <w:szCs w:val="17"/>
              </w:rPr>
              <w:t xml:space="preserve">_Base_ImpToLeaseRate</w:t>
            </w:r>
          </w:p>
        </w:tc>
        <w:tc>
          <w:tcPr>
            <w:tcW w:type="dxa" w:w="18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tcPr>
          <w:p>
            <w:r>
              <w:rPr>
                <w:rFonts w:ascii="Arial" w:cs="Arial" w:eastAsia="Arial" w:hAnsi="Arial"/>
                <w:color w:val="DC2626"/>
                <w:sz w:val="18"/>
                <w:szCs w:val="18"/>
              </w:rPr>
              <w:t xml:space="preserve">03 - Attributed (RETIRED)</w:t>
            </w:r>
          </w:p>
        </w:tc>
        <w:tc>
          <w:tcPr>
            <w:tcW w:type="dxa" w:w="476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tcPr>
          <w:p>
            <w:r>
              <w:rPr>
                <w:rFonts w:ascii="Arial" w:cs="Arial" w:eastAsia="Arial" w:hAnsi="Arial"/>
                <w:color w:val="DC2626"/>
                <w:sz w:val="19"/>
                <w:szCs w:val="19"/>
              </w:rPr>
              <w:t xml:space="preserve">Retired. No longer used in scoring. Moved to 11 - Quarantine.</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6. Measures Catalog</w:t>
      </w:r>
    </w:p>
    <w:p>
      <w:pPr>
        <w:spacing w:after="100" w:before="60"/>
      </w:pPr>
      <w:r>
        <w:rPr>
          <w:rFonts w:ascii="Arial" w:cs="Arial" w:eastAsia="Arial" w:hAnsi="Arial"/>
          <w:color w:val="374151"/>
          <w:sz w:val="22"/>
          <w:szCs w:val="22"/>
        </w:rPr>
        <w:t xml:space="preserve">All VPI measures are organized under folder 07 - VPI. The table below documents every measure, its sub-folder, and its purpose.</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Measure Name</w:t>
            </w:r>
          </w:p>
        </w:tc>
        <w:tc>
          <w:tcPr>
            <w:tcW w:type="dxa" w:w="58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7.1 — Components</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Awareness_Impressions_Percentile</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Tiered benchmark credit for impressions volume. Higher = better.</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Awareness_CTR_Percentile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Tiered benchmark credit for click-through rate. Higher = better.</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Awareness_CPC_Percentile</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Tiered benchmark credit for cost per click. Inverted — lower cost = better.</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Awareness_ClickToVisit_Percentile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Tiered benchmark credit for click-to-visit conversion. Higher = better.</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Consideration_Visits_Percentile</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Tiered benchmark credit for visit volume from fact_prospect_journey FunnelStageKey=3.</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Consideration_CPV_Percentile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Tiered benchmark credit for cost per visit. Inverted — lower cost = better.</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Consideration_VisitToLead_Percentile</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Tiered benchmark credit for visit-to-lead conversion rate. Higher = better.</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Evaluation_Leads_Percentile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Tiered benchmark credit for lead volume from fact_prospect_journey FunnelStageKey=4.</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Evaluation_CPL_Percentile</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Tiered benchmark credit for cost per lead. Inverted — lower cost = better.</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Evaluation_LeadToLease_Percentile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Tiered benchmark credit for lead-to-lease conversion. Higher = better.</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Conversion_NewLeases_Percentile</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Tiered benchmark credit for attributed new leases volume. Higher = better.</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Conversion_CostPerLease_Percentile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Tiered benchmark credit for cost per attributed lease. Inverted — lower cost = better.</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Conversion_SellRate_Percentile</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Tiered benchmark credit for vendor sell rate (New Leases Funnel / Vacant Units Period Start). Higher = better.</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7.2 — KPI (Stage Scores &amp; Diagnostics)</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 Score</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Equal-weighted average of 4 Awareness component scores (25% each). BLANK if all components blank.</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Consideration Score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Weighted average: Visits 33%, CPV 34%, V2L 33%. BLANK if all blank.</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Evaluation Score</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Weighted average: Leads 33%, CPL 33%, L2L 34%. BLANK if all blank.</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Conversion Score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Weighted average: New Leases 33%, Cost per Lease 34%, Sell Rate 33%. BLANK if all blank.</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Strongest Stage</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Name of the stage with the highest score at current filter context.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Strongest Stage Score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Score value of the strongest stage.</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Weakest Stage</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Name of the stage with the lowest score at current filter context.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Weakest Stage Score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Score value of the weakest stage.</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Stage Scores Summary</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Tooltip string: A:xx | C:xx | E:xx | V:xx for all four stages.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Stage Score Range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MAX stage score − MIN stage score. Feeds VPI Consistency.</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Average Score</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AVERAGEX across all vendors — portfolio benchmark line.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VPI_Average_Index All_Vendors</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Alias of VPI Average Score.</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Score (Stars)</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VPI score prefixed with 1–5 star rating for compact display.</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Strongest Area</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Specific metric within the strongest stage that is performing best.</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Weakest Area</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Specific metric within the weakest stage that is dragging most.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Property_Vendor_Signal</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Cross-index signal combining VPI with property context.</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Awareness_Status / _Status_Color</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Stage-level status label and color for Awareness.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Consideration_Status / _Status_Color</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Stage-level status label and color for Consideration.</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Evaluation_Status / _Status_Color</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Stage-level status label and color for Evaluation.</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Conversion_Status / _Status_Color</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Stage-level status label and color for Conversion.</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Vendor Count (Portfolio)</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Total vendor count across full portfolio — ignores all filters.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Vendor Count (Filtered)</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Vendor count within current filter context.</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7.3.1 — Final Score</w:t>
            </w:r>
          </w:p>
        </w:tc>
      </w:tr>
      <w:tr>
        <w:tc>
          <w:tcPr>
            <w:tcW w:type="dxa" w:w="35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Vendor Performance Index</w:t>
            </w:r>
          </w:p>
        </w:tc>
        <w:tc>
          <w:tcPr>
            <w:tcW w:type="dxa" w:w="5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color w:val="374151"/>
                <w:sz w:val="19"/>
                <w:szCs w:val="19"/>
              </w:rPr>
              <w:t xml:space="preserve">Master composite score. Spend-weighted avg of vendor scores at channel level. Single vendor = direct lookup from snapshot.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_VPI_SingleVendor_Score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Internal helper. Computes score for single vendor context. Weight-adaptive: excludes blank stages and renormalizes remaining weights.</w:t>
            </w:r>
          </w:p>
        </w:tc>
      </w:tr>
      <w:tr>
        <w:tc>
          <w:tcPr>
            <w:tcW w:type="dxa" w:w="35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Rank</w:t>
            </w:r>
          </w:p>
        </w:tc>
        <w:tc>
          <w:tcPr>
            <w:tcW w:type="dxa" w:w="5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color w:val="374151"/>
                <w:sz w:val="19"/>
                <w:szCs w:val="19"/>
              </w:rPr>
              <w:t xml:space="preserve">RANKX with HASONEVALUE branching — single vendor ranks vs ALL, multi-vendor ranks vs ALLSELECTED.</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Rank (Fixed)</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Snapshot-based rank. Pre-builds all vendor scores into ADDCOLUMNS table to prevent _ScoringDateRange re-evaluation per row.</w:t>
            </w:r>
          </w:p>
        </w:tc>
      </w:tr>
      <w:tr>
        <w:tc>
          <w:tcPr>
            <w:tcW w:type="dxa" w:w="35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Portfolio Rank</w:t>
            </w:r>
          </w:p>
        </w:tc>
        <w:tc>
          <w:tcPr>
            <w:tcW w:type="dxa" w:w="5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color w:val="374151"/>
                <w:sz w:val="19"/>
                <w:szCs w:val="19"/>
              </w:rPr>
              <w:t xml:space="preserve">Rank against full portfolio ignoring all filters.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Rank Display</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Formatted rank display: '#N of 11'.</w:t>
            </w:r>
          </w:p>
        </w:tc>
      </w:tr>
      <w:tr>
        <w:tc>
          <w:tcPr>
            <w:tcW w:type="dxa" w:w="35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Channel Rank</w:t>
            </w:r>
          </w:p>
        </w:tc>
        <w:tc>
          <w:tcPr>
            <w:tcW w:type="dxa" w:w="5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color w:val="374151"/>
                <w:sz w:val="19"/>
                <w:szCs w:val="19"/>
              </w:rPr>
              <w:t xml:space="preserve">Ranks vendor within its own channel. Used on vendor detail page (HASONEVALUE guard).</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Channel Rank Display</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Formatted channel rank: '#N of N in channel'.</w:t>
            </w:r>
          </w:p>
        </w:tc>
      </w:tr>
      <w:tr>
        <w:tc>
          <w:tcPr>
            <w:tcW w:type="dxa" w:w="35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Vendor Score</w:t>
            </w:r>
          </w:p>
        </w:tc>
        <w:tc>
          <w:tcPr>
            <w:tcW w:type="dxa" w:w="5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color w:val="374151"/>
                <w:sz w:val="19"/>
                <w:szCs w:val="19"/>
              </w:rPr>
              <w:t xml:space="preserve">Alias of Vendor Performance Index for display contexts.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Vendor Score for Ranking</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Version of score used specifically for ranking calculations.</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7.3.2 — Tiers &amp; Labels</w:t>
            </w:r>
          </w:p>
        </w:tc>
      </w:tr>
      <w:tr>
        <w:tc>
          <w:tcPr>
            <w:tcW w:type="dxa" w:w="35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Performance Tier</w:t>
            </w:r>
          </w:p>
        </w:tc>
        <w:tc>
          <w:tcPr>
            <w:tcW w:type="dxa" w:w="58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Text tier label: Elite / Strong / Moderate / Underperforming / Critical. Thresholds: 75/60/48/35.</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VPI_Status</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Alternative label set: Top Performer / Performing / Needs Attention / Watch / At Risk. Same thresholds.</w:t>
            </w:r>
          </w:p>
        </w:tc>
      </w:tr>
      <w:tr>
        <w:tc>
          <w:tcPr>
            <w:tcW w:type="dxa" w:w="35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Tier Icon</w:t>
            </w:r>
          </w:p>
        </w:tc>
        <w:tc>
          <w:tcPr>
            <w:tcW w:type="dxa" w:w="58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Icon + label: 🏆 Elite / ⭐ Strong / ● Moderate / ⚠ Underperforming / ⬇ Critical.</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VPI_Status_Icon</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Alternative icon set using UNICHAR codes for the same tier bands.</w:t>
            </w:r>
          </w:p>
        </w:tc>
      </w:tr>
      <w:tr>
        <w:tc>
          <w:tcPr>
            <w:tcW w:type="dxa" w:w="35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VPI_Status_Color</w:t>
            </w:r>
          </w:p>
        </w:tc>
        <w:tc>
          <w:tcPr>
            <w:tcW w:type="dxa" w:w="58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Hex color for conditional formatting: green/yellow/orange/red.</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VPI_Status_SortKey</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Numeric sort key for tier ordering in matrix visuals.</w:t>
            </w:r>
          </w:p>
        </w:tc>
      </w:tr>
      <w:tr>
        <w:tc>
          <w:tcPr>
            <w:tcW w:type="dxa" w:w="35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Tier Sort</w:t>
            </w:r>
          </w:p>
        </w:tc>
        <w:tc>
          <w:tcPr>
            <w:tcW w:type="dxa" w:w="58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Alternate sort key with different breakpoints.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Consistency</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Text label for stage score range: Very Consistent / Consistent / Moderate Variance / High Variance / Very Inconsistent.</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7.4 — Helpers</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Awareness_Top_Metric / _Value</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19"/>
                <w:szCs w:val="19"/>
              </w:rPr>
              <w:t xml:space="preserve">Name and value of the best-performing metric within Awareness stage.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Awareness_Weakest_Metric / _Value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Name and value of the weakest metric within Awareness stage.</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Consideration_Top_Metric / _Value</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19"/>
                <w:szCs w:val="19"/>
              </w:rPr>
              <w:t xml:space="preserve">Name and value of the best-performing metric within Consideration stage.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Consideration_Weakest_Metric / _Value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Name and value of the weakest metric within Consideration stage.</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Evaluation_Top_Metric / _Value</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19"/>
                <w:szCs w:val="19"/>
              </w:rPr>
              <w:t xml:space="preserve">Name and value of the best-performing metric within Evaluation stage.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Evaluation_Weakest_Metric / _Value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Name and value of the weakest metric within Evaluation stage.</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Conversion_Top_Metric / _Value</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19"/>
                <w:szCs w:val="19"/>
              </w:rPr>
              <w:t xml:space="preserve">Name and value of the best-performing metric within Conversion stage.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Conversion_Weakest_Metric / _Value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Name and value of the weakest metric within Conversion stage.</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Fixed Rankings (7.1 subfolder)</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Awareness_Impressions_Percentile_Fixed</w:t>
            </w:r>
          </w:p>
        </w:tc>
        <w:tc>
          <w:tcPr>
            <w:tcW w:type="dxa" w:w="5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Fixed impressions percentile ignoring vendor filters. Used on vendor detail page only.</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Awareness_Score_Fixed</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Fixed Awareness Score ignoring vendor filters. Detail page use only.</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Awareness_Rank_Fixed</w:t>
            </w:r>
          </w:p>
        </w:tc>
        <w:tc>
          <w:tcPr>
            <w:tcW w:type="dxa" w:w="5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Fixed Awareness rank vs full portfolio. Detail page use only.</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Consideration_Rank_Fixed</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Fixed Consideration rank vs full portfolio.</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Evaluation_Rank_Fixed</w:t>
            </w:r>
          </w:p>
        </w:tc>
        <w:tc>
          <w:tcPr>
            <w:tcW w:type="dxa" w:w="5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Fixed Evaluation rank vs full portfolio.</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Conversion_Rank_Fixed</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Fixed Conversion rank vs full portfolio.</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 Rank (Fixed)</w:t>
            </w:r>
          </w:p>
        </w:tc>
        <w:tc>
          <w:tcPr>
            <w:tcW w:type="dxa" w:w="5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Fixed VPI rank vs full portfolio using snapshot pattern.</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Filtered_Vendor_Count</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Count of vendors in current filter context.</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Total_Vendors_in_Portfolio</w:t>
            </w:r>
          </w:p>
        </w:tc>
        <w:tc>
          <w:tcPr>
            <w:tcW w:type="dxa" w:w="5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Count of all vendors in portfolio — ALL(dim_vendor).</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VPI_Rank_vs_Portfolio</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Rank display showing position vs full portfolio regardless of page filter.</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Vendor_Performance_Rank_Fixed</w:t>
            </w:r>
          </w:p>
        </w:tc>
        <w:tc>
          <w:tcPr>
            <w:tcW w:type="dxa" w:w="5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Fixed overall vendor rank for stable display on detail page.</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Property Rollup</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Property_Vendor_Index</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Aggregates VPI to property level — used as X-axis of the Marketing vs Ops Gap scatter quadrant.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7"/>
                <w:szCs w:val="17"/>
              </w:rPr>
              <w:t xml:space="preserve">Property_Vendor_Index_Normalized</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Normalized version of property-level VPI for cross-pillar comparison.</w:t>
            </w:r>
          </w:p>
        </w:tc>
      </w:tr>
    </w:tbl>
    <w:p>
      <w:pPr>
        <w:spacing w:after="100" w:before="12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6.1 Channel Rollup</w:t>
      </w:r>
    </w:p>
    <w:p>
      <w:pPr>
        <w:spacing w:after="100" w:before="60"/>
      </w:pPr>
      <w:r>
        <w:rPr>
          <w:rFonts w:ascii="Arial" w:cs="Arial" w:eastAsia="Arial" w:hAnsi="Arial"/>
          <w:color w:val="374151"/>
          <w:sz w:val="22"/>
          <w:szCs w:val="22"/>
        </w:rPr>
        <w:t xml:space="preserve">Vendor Performance Index handles the channel rollup automatically. When there is no single VendorKey in filter context (i.e. a channel-level row in a matrix), it falls through to the spend-weighted average path:</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Vendor Performance Index =</w:t>
            </w:r>
          </w:p>
          <w:p>
            <w:pPr>
              <w:spacing w:after="20" w:before="20"/>
            </w:pPr>
            <w:r>
              <w:rPr>
                <w:rFonts w:ascii="Courier New" w:cs="Courier New" w:eastAsia="Courier New" w:hAnsi="Courier New"/>
                <w:color w:val="1E3A5F"/>
                <w:sz w:val="18"/>
                <w:szCs w:val="18"/>
              </w:rPr>
              <w:t xml:space="preserve">-- Pre-snapshot all vendor scores</w:t>
            </w:r>
          </w:p>
          <w:p>
            <w:pPr>
              <w:spacing w:after="20" w:before="20"/>
            </w:pPr>
            <w:r>
              <w:rPr>
                <w:rFonts w:ascii="Courier New" w:cs="Courier New" w:eastAsia="Courier New" w:hAnsi="Courier New"/>
                <w:color w:val="1E3A5F"/>
                <w:sz w:val="18"/>
                <w:szCs w:val="18"/>
              </w:rPr>
              <w:t xml:space="preserve">VAR ScoreSnapshot =</w:t>
            </w:r>
          </w:p>
          <w:p>
            <w:pPr>
              <w:spacing w:after="20" w:before="20"/>
            </w:pPr>
            <w:r>
              <w:rPr>
                <w:rFonts w:ascii="Courier New" w:cs="Courier New" w:eastAsia="Courier New" w:hAnsi="Courier New"/>
                <w:color w:val="1E3A5F"/>
                <w:sz w:val="18"/>
                <w:szCs w:val="18"/>
              </w:rPr>
              <w:t xml:space="preserve">    ADDCOLUMNS(</w:t>
            </w:r>
          </w:p>
          <w:p>
            <w:pPr>
              <w:spacing w:after="20" w:before="20"/>
            </w:pPr>
            <w:r>
              <w:rPr>
                <w:rFonts w:ascii="Courier New" w:cs="Courier New" w:eastAsia="Courier New" w:hAnsi="Courier New"/>
                <w:color w:val="1E3A5F"/>
                <w:sz w:val="18"/>
                <w:szCs w:val="18"/>
              </w:rPr>
              <w:t xml:space="preserve">        ALL(dim_vendor[VendorKey]),</w:t>
            </w:r>
          </w:p>
          <w:p>
            <w:pPr>
              <w:spacing w:after="20" w:before="20"/>
            </w:pPr>
            <w:r>
              <w:rPr>
                <w:rFonts w:ascii="Courier New" w:cs="Courier New" w:eastAsia="Courier New" w:hAnsi="Courier New"/>
                <w:color w:val="1E3A5F"/>
                <w:sz w:val="18"/>
                <w:szCs w:val="18"/>
              </w:rPr>
              <w:t xml:space="preserve">        "@Key",   dim_vendor[VendorKey],</w:t>
            </w:r>
          </w:p>
          <w:p>
            <w:pPr>
              <w:spacing w:after="20" w:before="20"/>
            </w:pPr>
            <w:r>
              <w:rPr>
                <w:rFonts w:ascii="Courier New" w:cs="Courier New" w:eastAsia="Courier New" w:hAnsi="Courier New"/>
                <w:color w:val="1E3A5F"/>
                <w:sz w:val="18"/>
                <w:szCs w:val="18"/>
              </w:rPr>
              <w:t xml:space="preserve">        "@Score", CALCULATE([_VPI_SingleVendor_Score]),</w:t>
            </w:r>
          </w:p>
          <w:p>
            <w:pPr>
              <w:spacing w:after="20" w:before="20"/>
            </w:pPr>
            <w:r>
              <w:rPr>
                <w:rFonts w:ascii="Courier New" w:cs="Courier New" w:eastAsia="Courier New" w:hAnsi="Courier New"/>
                <w:color w:val="1E3A5F"/>
                <w:sz w:val="18"/>
                <w:szCs w:val="18"/>
              </w:rPr>
              <w:t xml:space="preserve">        "@Spend", CALCULATE([Marketing Spend])</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VAR ValidSnapshot = FILTER(ScoreSnapshot, NOT ISBLANK([@Score]))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IF(</w:t>
            </w:r>
          </w:p>
          <w:p>
            <w:pPr>
              <w:spacing w:after="20" w:before="20"/>
            </w:pPr>
            <w:r>
              <w:rPr>
                <w:rFonts w:ascii="Courier New" w:cs="Courier New" w:eastAsia="Courier New" w:hAnsi="Courier New"/>
                <w:color w:val="1E3A5F"/>
                <w:sz w:val="18"/>
                <w:szCs w:val="18"/>
              </w:rPr>
              <w:t xml:space="preserve">    HASONEVALUE(dim_vendor[VendorKey]),</w:t>
            </w:r>
          </w:p>
          <w:p>
            <w:pPr>
              <w:spacing w:after="20" w:before="20"/>
            </w:pPr>
            <w:r>
              <w:rPr>
                <w:rFonts w:ascii="Courier New" w:cs="Courier New" w:eastAsia="Courier New" w:hAnsi="Courier New"/>
                <w:color w:val="1E3A5F"/>
                <w:sz w:val="18"/>
                <w:szCs w:val="18"/>
              </w:rPr>
              <w:t xml:space="preserve">    -- Single vendor: direct lookup from snapshot</w:t>
            </w:r>
          </w:p>
          <w:p>
            <w:pPr>
              <w:spacing w:after="20" w:before="20"/>
            </w:pPr>
            <w:r>
              <w:rPr>
                <w:rFonts w:ascii="Courier New" w:cs="Courier New" w:eastAsia="Courier New" w:hAnsi="Courier New"/>
                <w:color w:val="1E3A5F"/>
                <w:sz w:val="18"/>
                <w:szCs w:val="18"/>
              </w:rPr>
              <w:t xml:space="preserve">    MAXX(FILTER(ValidSnapshot, [@Key] = SELECTEDVALUE(dim_vendor[VendorKey])), [@Score]),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Channel rollup: spend-weighted average</w:t>
            </w:r>
          </w:p>
          <w:p>
            <w:pPr>
              <w:spacing w:after="20" w:before="20"/>
            </w:pPr>
            <w:r>
              <w:rPr>
                <w:rFonts w:ascii="Courier New" w:cs="Courier New" w:eastAsia="Courier New" w:hAnsi="Courier New"/>
                <w:color w:val="1E3A5F"/>
                <w:sz w:val="18"/>
                <w:szCs w:val="18"/>
              </w:rPr>
              <w:t xml:space="preserve">    VAR ValidWithSpend = FILTER(ValidSnapshot, [@Spend] &gt; 0)</w:t>
            </w:r>
          </w:p>
          <w:p>
            <w:pPr>
              <w:spacing w:after="20" w:before="20"/>
            </w:pPr>
            <w:r>
              <w:rPr>
                <w:rFonts w:ascii="Courier New" w:cs="Courier New" w:eastAsia="Courier New" w:hAnsi="Courier New"/>
                <w:color w:val="1E3A5F"/>
                <w:sz w:val="18"/>
                <w:szCs w:val="18"/>
              </w:rPr>
              <w:t xml:space="preserve">    RETURN</w:t>
            </w:r>
          </w:p>
          <w:p>
            <w:pPr>
              <w:spacing w:after="20" w:before="20"/>
            </w:pPr>
            <w:r>
              <w:rPr>
                <w:rFonts w:ascii="Courier New" w:cs="Courier New" w:eastAsia="Courier New" w:hAnsi="Courier New"/>
                <w:color w:val="1E3A5F"/>
                <w:sz w:val="18"/>
                <w:szCs w:val="18"/>
              </w:rPr>
              <w:t xml:space="preserve">    DIVIDE(</w:t>
            </w:r>
          </w:p>
          <w:p>
            <w:pPr>
              <w:spacing w:after="20" w:before="20"/>
            </w:pPr>
            <w:r>
              <w:rPr>
                <w:rFonts w:ascii="Courier New" w:cs="Courier New" w:eastAsia="Courier New" w:hAnsi="Courier New"/>
                <w:color w:val="1E3A5F"/>
                <w:sz w:val="18"/>
                <w:szCs w:val="18"/>
              </w:rPr>
              <w:t xml:space="preserve">        SUMX(ValidWithSpend, [@Score] * [@Spend]),</w:t>
            </w:r>
          </w:p>
          <w:p>
            <w:pPr>
              <w:spacing w:after="20" w:before="20"/>
            </w:pPr>
            <w:r>
              <w:rPr>
                <w:rFonts w:ascii="Courier New" w:cs="Courier New" w:eastAsia="Courier New" w:hAnsi="Courier New"/>
                <w:color w:val="1E3A5F"/>
                <w:sz w:val="18"/>
                <w:szCs w:val="18"/>
              </w:rPr>
              <w:t xml:space="preserve">        SUMX(ValidWithSpend, [@Spend])</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7. Data Dependencies</w:t>
      </w:r>
    </w:p>
    <w:p>
      <w:pPr>
        <w:spacing w:after="100" w:before="60"/>
      </w:pPr>
      <w:r>
        <w:rPr>
          <w:rFonts w:ascii="Arial" w:cs="Arial" w:eastAsia="Arial" w:hAnsi="Arial"/>
          <w:color w:val="374151"/>
          <w:sz w:val="22"/>
          <w:szCs w:val="22"/>
        </w:rPr>
        <w:t xml:space="preserve">The VPI draws from three fact tables and their associated dimensions. All vendor-level metrics use USERELATIONSHIP to activate the inactive relationship between fact_prospect_journey[VendorKey] and dim_vendor[VendorKey].</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Source Table</w:t>
            </w:r>
          </w:p>
        </w:tc>
        <w:tc>
          <w:tcPr>
            <w:tcW w:type="dxa" w:w="22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Columns Used</w:t>
            </w:r>
          </w:p>
        </w:tc>
        <w:tc>
          <w:tcPr>
            <w:tcW w:type="dxa" w:w="43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Feeds Stage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7"/>
                <w:szCs w:val="17"/>
              </w:rPr>
              <w:t xml:space="preserve">fact_marketing_funnel_daily</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374151"/>
                <w:sz w:val="17"/>
                <w:szCs w:val="17"/>
              </w:rPr>
              <w:t xml:space="preserve">MetricValue, FunnelStageName, VendorKey</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Awareness (Impressions, Clicks), Conversion (New Leases Funnel)</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7"/>
                <w:szCs w:val="17"/>
              </w:rPr>
              <w:t xml:space="preserve">fact_marketing_spend_daily</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374151"/>
                <w:sz w:val="17"/>
                <w:szCs w:val="17"/>
              </w:rPr>
              <w:t xml:space="preserve">Spend, VendorKey</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All stages (cost metrics: CPC, CPV, CPL, Cost per Lease)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7"/>
                <w:szCs w:val="17"/>
              </w:rPr>
              <w:t xml:space="preserve">fact_prospect_journey</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374151"/>
                <w:sz w:val="17"/>
                <w:szCs w:val="17"/>
              </w:rPr>
              <w:t xml:space="preserve">FunnelStageKey, AttributedCredit, Converted, VendorKey</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Consideration (Visits), Evaluation (Leads, L2L), Conversion (Cost per Lease)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7"/>
                <w:szCs w:val="17"/>
              </w:rPr>
              <w:t xml:space="preserve">fact_property_ops_daily</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374151"/>
                <w:sz w:val="17"/>
                <w:szCs w:val="17"/>
              </w:rPr>
              <w:t xml:space="preserve">VacantUnits (period start snapshot)</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Conversion (Sell Rate denominator)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7"/>
                <w:szCs w:val="17"/>
              </w:rPr>
              <w:t xml:space="preserve">dim_vendor</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374151"/>
                <w:sz w:val="17"/>
                <w:szCs w:val="17"/>
              </w:rPr>
              <w:t xml:space="preserve">VendorKey, VendorName, ChannelKey</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All stages — filter context and USERELATIONSHIP</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7"/>
                <w:szCs w:val="17"/>
              </w:rPr>
              <w:t xml:space="preserve">dim_date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374151"/>
                <w:sz w:val="17"/>
                <w:szCs w:val="17"/>
              </w:rPr>
              <w:t xml:space="preserve">Date, DateKey</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30-day window logic, benchmark date range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7"/>
                <w:szCs w:val="17"/>
              </w:rPr>
              <w:t xml:space="preserve">dim_property</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374151"/>
                <w:sz w:val="17"/>
                <w:szCs w:val="17"/>
              </w:rPr>
              <w:t xml:space="preserve">TotalUnits</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Sell Rate (Vendor) denominator context</w:t>
            </w:r>
          </w:p>
        </w:tc>
      </w:tr>
    </w:tbl>
    <w:p>
      <w:pPr>
        <w:spacing w:after="100" w:before="200"/>
      </w:pPr>
      <w:r>
        <w:t xml:space="preserve"/>
      </w:r>
    </w:p>
    <w:p>
      <w:pPr>
        <w:pStyle w:val="Heading1"/>
        <w:spacing w:after="160" w:before="320"/>
      </w:pPr>
      <w:r>
        <w:rPr>
          <w:rFonts w:ascii="Arial" w:cs="Arial" w:eastAsia="Arial" w:hAnsi="Arial"/>
          <w:b/>
          <w:bCs/>
          <w:color w:val="1E2A3A"/>
          <w:sz w:val="32"/>
          <w:szCs w:val="32"/>
        </w:rPr>
        <w:t xml:space="preserve">8. Version History</w:t>
      </w:r>
    </w:p>
    <w:p>
      <w:pPr>
        <w:pStyle w:val="Heading2"/>
        <w:pBdr>
          <w:bottom w:val="single" w:color="2563EB" w:sz="4" w:space="4"/>
        </w:pBdr>
        <w:spacing w:after="120" w:before="280"/>
      </w:pPr>
      <w:r>
        <w:rPr>
          <w:rFonts w:ascii="Arial" w:cs="Arial" w:eastAsia="Arial" w:hAnsi="Arial"/>
          <w:b/>
          <w:bCs/>
          <w:color w:val="1E2A3A"/>
          <w:sz w:val="26"/>
          <w:szCs w:val="26"/>
        </w:rPr>
        <w:t xml:space="preserve">Version 3.0 — Benchmark Credit Redesign (April 2026)</w:t>
      </w:r>
    </w:p>
    <w:p>
      <w:pPr>
        <w:spacing w:after="100" w:before="60"/>
      </w:pPr>
      <w:r>
        <w:rPr>
          <w:rFonts w:ascii="Arial" w:cs="Arial" w:eastAsia="Arial" w:hAnsi="Arial"/>
          <w:color w:val="374151"/>
          <w:sz w:val="22"/>
          <w:szCs w:val="22"/>
        </w:rPr>
        <w:t xml:space="preserve">Complete replacement of the percentile ranking system with the tiered benchmark credit system described in Section 2. Key changes:</w:t>
      </w:r>
    </w:p>
    <w:p>
      <w:pPr>
        <w:pStyle w:val="ListParagraph"/>
        <w:numPr>
          <w:ilvl w:val="0"/>
          <w:numId w:val="2"/>
        </w:numPr>
        <w:spacing w:after="40" w:before="40"/>
      </w:pPr>
      <w:r>
        <w:rPr>
          <w:rFonts w:ascii="Arial" w:cs="Arial" w:eastAsia="Arial" w:hAnsi="Arial"/>
          <w:color w:val="374151"/>
          <w:sz w:val="22"/>
          <w:szCs w:val="22"/>
        </w:rPr>
        <w:t xml:space="preserve">All 13 component measures rewritten from COUNTROWS(FILTER(...)) percentile logic to SWITCH(TRUE(), ...) tiered credit logic</w:t>
      </w:r>
    </w:p>
    <w:p>
      <w:pPr>
        <w:pStyle w:val="ListParagraph"/>
        <w:numPr>
          <w:ilvl w:val="0"/>
          <w:numId w:val="2"/>
        </w:numPr>
        <w:spacing w:after="40" w:before="40"/>
      </w:pPr>
      <w:r>
        <w:rPr>
          <w:rFonts w:ascii="Arial" w:cs="Arial" w:eastAsia="Arial" w:hAnsi="Arial"/>
          <w:color w:val="374151"/>
          <w:sz w:val="22"/>
          <w:szCs w:val="22"/>
        </w:rPr>
        <w:t xml:space="preserve">Benchmark is now the 3-month portfolio average per metric, respecting date slicer and ignoring all geo/vendor filters</w:t>
      </w:r>
    </w:p>
    <w:p>
      <w:pPr>
        <w:pStyle w:val="ListParagraph"/>
        <w:numPr>
          <w:ilvl w:val="0"/>
          <w:numId w:val="2"/>
        </w:numPr>
        <w:spacing w:after="40" w:before="40"/>
      </w:pPr>
      <w:r>
        <w:rPr>
          <w:rFonts w:ascii="Arial" w:cs="Arial" w:eastAsia="Arial" w:hAnsi="Arial"/>
          <w:color w:val="374151"/>
          <w:sz w:val="22"/>
          <w:szCs w:val="22"/>
        </w:rPr>
        <w:t xml:space="preserve">_VPI_SingleVendor_Score simplified to weight-adaptive weighted sum — no index ratio, no cap</w:t>
      </w:r>
    </w:p>
    <w:p>
      <w:pPr>
        <w:pStyle w:val="ListParagraph"/>
        <w:numPr>
          <w:ilvl w:val="0"/>
          <w:numId w:val="2"/>
        </w:numPr>
        <w:spacing w:after="40" w:before="40"/>
      </w:pPr>
      <w:r>
        <w:rPr>
          <w:rFonts w:ascii="Arial" w:cs="Arial" w:eastAsia="Arial" w:hAnsi="Arial"/>
          <w:color w:val="374151"/>
          <w:sz w:val="22"/>
          <w:szCs w:val="22"/>
        </w:rPr>
        <w:t xml:space="preserve">Conversion_ImpToLease_Percentile retired to quarantine — cross-table dependency made it BLANK for all non-impression channels</w:t>
      </w:r>
    </w:p>
    <w:p>
      <w:pPr>
        <w:pStyle w:val="ListParagraph"/>
        <w:numPr>
          <w:ilvl w:val="0"/>
          <w:numId w:val="2"/>
        </w:numPr>
        <w:spacing w:after="40" w:before="40"/>
      </w:pPr>
      <w:r>
        <w:rPr>
          <w:rFonts w:ascii="Arial" w:cs="Arial" w:eastAsia="Arial" w:hAnsi="Arial"/>
          <w:color w:val="374151"/>
          <w:sz w:val="22"/>
          <w:szCs w:val="22"/>
        </w:rPr>
        <w:t xml:space="preserve">Sell Rate (Vendor) created as vendor-aware sell rate using New Leases (Funnel) / Vacant Units (Period Start)</w:t>
      </w:r>
    </w:p>
    <w:p>
      <w:pPr>
        <w:pStyle w:val="ListParagraph"/>
        <w:numPr>
          <w:ilvl w:val="0"/>
          <w:numId w:val="2"/>
        </w:numPr>
        <w:spacing w:after="40" w:before="40"/>
      </w:pPr>
      <w:r>
        <w:rPr>
          <w:rFonts w:ascii="Arial" w:cs="Arial" w:eastAsia="Arial" w:hAnsi="Arial"/>
          <w:color w:val="374151"/>
          <w:sz w:val="22"/>
          <w:szCs w:val="22"/>
        </w:rPr>
        <w:t xml:space="preserve">Conversion Score updated: ImpToLease removed, remaining three components reweighted to 33/34/33</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Version 2.0 — Index/Cap Approach (March 2026)</w:t>
      </w:r>
    </w:p>
    <w:p>
      <w:pPr>
        <w:spacing w:after="100" w:before="60"/>
      </w:pPr>
      <w:r>
        <w:rPr>
          <w:rFonts w:ascii="Arial" w:cs="Arial" w:eastAsia="Arial" w:hAnsi="Arial"/>
          <w:color w:val="374151"/>
          <w:sz w:val="22"/>
          <w:szCs w:val="22"/>
        </w:rPr>
        <w:t xml:space="preserve">Introduced _VPI_SingleVendor_Score with ratio-vs-portfolio-average logic capped at 0.70–1.30. Produced compressed scores with theoretical midpoint of 50 and ceiling of ~67. Replaced in v3.0.</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Version 1.0 — Pure Percentile Ranking (February 2026)</w:t>
      </w:r>
    </w:p>
    <w:p>
      <w:pPr>
        <w:spacing w:after="100" w:before="60"/>
      </w:pPr>
      <w:r>
        <w:rPr>
          <w:rFonts w:ascii="Arial" w:cs="Arial" w:eastAsia="Arial" w:hAnsi="Arial"/>
          <w:color w:val="374151"/>
          <w:sz w:val="22"/>
          <w:szCs w:val="22"/>
        </w:rPr>
        <w:t xml:space="preserve">Original system. Ranked each vendor against all others using COUNTROWS(FILTER(ALL(dim_vendor), ...)). With 11 vendors, maximum achievable score was 90.9 and median was 45.5. Replaced in v2.0.</w:t>
      </w:r>
    </w:p>
    <w:p>
      <w:pPr>
        <w:spacing w:after="100" w:before="24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after="0" w:before="80"/>
    </w:pPr>
    <w:r>
      <w:rPr>
        <w:rFonts w:ascii="Arial" w:cs="Arial" w:eastAsia="Arial" w:hAnsi="Arial"/>
        <w:color w:val="9CA3AF"/>
        <w:sz w:val="16"/>
        <w:szCs w:val="16"/>
      </w:rPr>
      <w:t xml:space="preserve">Confidential — Internal Use Only</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spacing w:after="80" w:before="0"/>
    </w:pPr>
    <w:r>
      <w:rPr>
        <w:rFonts w:ascii="Arial" w:cs="Arial" w:eastAsia="Arial" w:hAnsi="Arial"/>
        <w:color w:val="9CA3AF"/>
        <w:sz w:val="18"/>
        <w:szCs w:val="18"/>
      </w:rPr>
      <w:t xml:space="preserve">NorthStar Residential  |  Vendor Performance Index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2A3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2A3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2026-04-13T14:46:35.118Z</dcterms:created>
  <dcterms:modified xsi:type="dcterms:W3CDTF">2026-04-13T14:46:35.119Z</dcterms:modified>
</cp:coreProperties>
</file>

<file path=docProps/custom.xml><?xml version="1.0" encoding="utf-8"?>
<Properties xmlns="http://schemas.openxmlformats.org/officeDocument/2006/custom-properties" xmlns:vt="http://schemas.openxmlformats.org/officeDocument/2006/docPropsVTypes"/>
</file>