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480"/>
              <w:left w:type="dxa" w:w="480"/>
              <w:bottom w:type="dxa" w:w="480"/>
              <w:right w:type="dxa" w:w="480"/>
            </w:tcMar>
          </w:tcPr>
          <w:p>
            <w:pPr>
              <w:spacing w:after="80" w:before="0"/>
            </w:pPr>
            <w:r>
              <w:rPr>
                <w:rFonts w:ascii="Arial" w:cs="Arial" w:eastAsia="Arial" w:hAnsi="Arial"/>
                <w:color w:val="93C5FD"/>
                <w:sz w:val="20"/>
                <w:szCs w:val="20"/>
              </w:rPr>
              <w:t xml:space="preserve">NorthStar Residential Group</w:t>
            </w:r>
          </w:p>
          <w:p>
            <w:pPr>
              <w:spacing w:after="120" w:before="0"/>
            </w:pPr>
            <w:r>
              <w:rPr>
                <w:rFonts w:ascii="Arial" w:cs="Arial" w:eastAsia="Arial" w:hAnsi="Arial"/>
                <w:b/>
                <w:bCs/>
                <w:color w:val="FFFFFF"/>
                <w:sz w:val="52"/>
                <w:szCs w:val="52"/>
              </w:rPr>
              <w:t xml:space="preserve">Operations Index</w:t>
            </w:r>
          </w:p>
          <w:p>
            <w:pPr>
              <w:spacing w:after="80" w:before="0"/>
            </w:pPr>
            <w:r>
              <w:rPr>
                <w:rFonts w:ascii="Arial" w:cs="Arial" w:eastAsia="Arial" w:hAnsi="Arial"/>
                <w:color w:val="CBD5E1"/>
                <w:sz w:val="26"/>
                <w:szCs w:val="26"/>
              </w:rPr>
              <w:t xml:space="preserve">Technical Reference &amp; Narrative Guide</w:t>
            </w:r>
          </w:p>
          <w:p>
            <w:pPr>
              <w:spacing w:after="0" w:before="0"/>
            </w:pPr>
            <w:r>
              <w:rPr>
                <w:rFonts w:ascii="Arial" w:cs="Arial" w:eastAsia="Arial" w:hAnsi="Arial"/>
                <w:color w:val="64748B"/>
                <w:sz w:val="20"/>
                <w:szCs w:val="20"/>
              </w:rPr>
              <w:t xml:space="preserve">Version 1.0  |  April 2026</w:t>
            </w:r>
          </w:p>
        </w:tc>
      </w:tr>
    </w:tbl>
    <w:p>
      <w:pPr>
        <w:spacing w:after="40" w:before="400"/>
      </w:pPr>
      <w:r>
        <w:t xml:space="preserve"/>
      </w:r>
    </w:p>
    <w:p>
      <w:pPr>
        <w:pStyle w:val="Heading1"/>
        <w:spacing w:after="160" w:before="320"/>
      </w:pPr>
      <w:r>
        <w:rPr>
          <w:rFonts w:ascii="Arial" w:cs="Arial" w:eastAsia="Arial" w:hAnsi="Arial"/>
          <w:b/>
          <w:bCs/>
          <w:color w:val="1E2A3A"/>
          <w:sz w:val="32"/>
          <w:szCs w:val="32"/>
        </w:rPr>
        <w:t xml:space="preserve">1. The Story — Where the Operations Index Fits</w:t>
      </w:r>
    </w:p>
    <w:p>
      <w:pPr>
        <w:spacing w:after="100" w:before="60"/>
      </w:pPr>
      <w:r>
        <w:rPr>
          <w:rFonts w:ascii="Arial" w:cs="Arial" w:eastAsia="Arial" w:hAnsi="Arial"/>
          <w:color w:val="374151"/>
          <w:sz w:val="22"/>
          <w:szCs w:val="22"/>
        </w:rPr>
        <w:t xml:space="preserve">NorthStar is built around a single core question: is a given property, market, or region performing at the level it needs to in order to sustain leasing momentum and protect portfolio occupancy? The Operations Index is the primary answer to that question.</w:t>
      </w:r>
    </w:p>
    <w:p>
      <w:pPr>
        <w:spacing w:after="100" w:before="60"/>
      </w:pPr>
      <w:r>
        <w:rPr>
          <w:rFonts w:ascii="Arial" w:cs="Arial" w:eastAsia="Arial" w:hAnsi="Arial"/>
          <w:color w:val="374151"/>
          <w:sz w:val="22"/>
          <w:szCs w:val="22"/>
        </w:rPr>
        <w:t xml:space="preserve">The NorthStar reporting model is organized into three interlocking performance pillars — marketing performance, operational health, and portfolio stability. Each pillar has its own composite score. The Operations Index owns the operational health pillar entirely.</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1.1 The Three-Pillar Model</w:t>
      </w:r>
    </w:p>
    <w:p>
      <w:pPr>
        <w:spacing w:after="100" w:before="60"/>
      </w:pPr>
      <w:r>
        <w:rPr>
          <w:rFonts w:ascii="Arial" w:cs="Arial" w:eastAsia="Arial" w:hAnsi="Arial"/>
          <w:color w:val="374151"/>
          <w:sz w:val="22"/>
          <w:szCs w:val="22"/>
        </w:rPr>
        <w:t xml:space="preserve">Every property in the portfolio is evaluated simultaneously across three lenses: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2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59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What It Answers</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Pillar 1</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2A3A"/>
                <w:sz w:val="20"/>
                <w:szCs w:val="20"/>
              </w:rPr>
              <w:t xml:space="preserve">Vendor Performance Index (VPI)</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Is our marketing spend generating quality demand? Which vendors and channels are driving leases?</w:t>
            </w:r>
          </w:p>
        </w:tc>
      </w:tr>
      <w:tr>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2563EB"/>
                <w:sz w:val="20"/>
                <w:szCs w:val="20"/>
              </w:rPr>
              <w:t xml:space="preserve">Pillar 2</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2A3A"/>
                <w:sz w:val="20"/>
                <w:szCs w:val="20"/>
              </w:rPr>
              <w:t xml:space="preserve">Operations Index</w:t>
            </w:r>
          </w:p>
        </w:tc>
        <w:tc>
          <w:tcPr>
            <w:tcW w:type="dxa" w:w="5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Is the property operationally ready to convert demand into occupancy? Are vacancies filling fast enough?</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2563EB"/>
                <w:sz w:val="20"/>
                <w:szCs w:val="20"/>
              </w:rPr>
              <w:t xml:space="preserve">Pillar 3</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2A3A"/>
                <w:sz w:val="20"/>
                <w:szCs w:val="20"/>
              </w:rPr>
              <w:t xml:space="preserve">Portfolio Health Index</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Is the portfolio stable? Are leasing trends, occupancy, and demand balanced across markets and regions?</w:t>
            </w:r>
          </w:p>
        </w:tc>
      </w:tr>
    </w:tbl>
    <w:p>
      <w:pPr>
        <w:spacing w:after="100" w:before="120"/>
      </w:pPr>
      <w:r>
        <w:t xml:space="preserve"/>
      </w:r>
    </w:p>
    <w:p>
      <w:pPr>
        <w:spacing w:after="100" w:before="60"/>
      </w:pPr>
      <w:r>
        <w:rPr>
          <w:rFonts w:ascii="Arial" w:cs="Arial" w:eastAsia="Arial" w:hAnsi="Arial"/>
          <w:color w:val="374151"/>
          <w:sz w:val="22"/>
          <w:szCs w:val="22"/>
        </w:rPr>
        <w:t xml:space="preserve">These three pillars are intentionally designed to be used together. A property can have strong vendor performance — good leads at a low cost — but still fail to convert those leads into leases if its operational readiness is poor. The Operations Index exists to surface that gap before it becomes a crisis.</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1.2 The Marketing vs. Ops Gap</w:t>
      </w:r>
    </w:p>
    <w:p>
      <w:pPr>
        <w:spacing w:after="100" w:before="60"/>
      </w:pPr>
      <w:r>
        <w:rPr>
          <w:rFonts w:ascii="Arial" w:cs="Arial" w:eastAsia="Arial" w:hAnsi="Arial"/>
          <w:color w:val="374151"/>
          <w:sz w:val="22"/>
          <w:szCs w:val="22"/>
        </w:rPr>
        <w:t xml:space="preserve">The most powerful cross-pillar analysis in NorthStar is the scatter plot quadrant that maps each property's VPI score against its Operations Index score. This produces four quadrants: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Quadrant</w:t>
            </w:r>
          </w:p>
        </w:tc>
        <w:tc>
          <w:tcPr>
            <w:tcW w:type="dxa" w:w="55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2A3A"/>
                <w:sz w:val="20"/>
                <w:szCs w:val="20"/>
              </w:rPr>
              <w:t xml:space="preserve">Efficient — Scale Up</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High VPI + High Ops. Marketing is working and operations are converting. Double down on marketing investment here.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2A3A"/>
                <w:sz w:val="20"/>
                <w:szCs w:val="20"/>
              </w:rPr>
              <w:t xml:space="preserve">Reduce Marketing</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Low VPI + High Ops. The property can handle more leases but demand generation is underperforming. Reassess vendor mix.</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E2A3A"/>
                <w:sz w:val="20"/>
                <w:szCs w:val="20"/>
              </w:rPr>
              <w:t xml:space="preserve">Ops Lagging</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High VPI + Low Ops. Marketing is driving demand but the property can't absorb it. Operations must improve before more spend is justified.</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sz w:val="22"/>
                <w:szCs w:val="22"/>
              </w:rPr>
              <w:t xml:space="preserv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E2A3A"/>
                <w:sz w:val="20"/>
                <w:szCs w:val="20"/>
              </w:rPr>
              <w:t xml:space="preserve">Critical</w:t>
            </w:r>
          </w:p>
        </w:tc>
        <w:tc>
          <w:tcPr>
            <w:tcW w:type="dxa" w:w="5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Low VPI + Low Ops. Both pillars are underperforming. Requires immediate leadership attention on both fronts.</w:t>
            </w:r>
          </w:p>
        </w:tc>
      </w:tr>
    </w:tbl>
    <w:p>
      <w:pPr>
        <w:spacing w:after="100" w:before="120"/>
      </w:pPr>
      <w:r>
        <w:t xml:space="preserve"/>
      </w:r>
    </w:p>
    <w:p>
      <w:pPr>
        <w:spacing w:after="100" w:before="60"/>
      </w:pPr>
      <w:r>
        <w:rPr>
          <w:rFonts w:ascii="Arial" w:cs="Arial" w:eastAsia="Arial" w:hAnsi="Arial"/>
          <w:color w:val="374151"/>
          <w:sz w:val="22"/>
          <w:szCs w:val="22"/>
        </w:rPr>
        <w:t xml:space="preserve">The Operations Index score is one of the two axes in this quadrant. Its accuracy and consistency are therefore critical to the integrity of the entire cross-pillar narrative.</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1.3 What the Index Is Designed to Detect</w:t>
      </w:r>
    </w:p>
    <w:p>
      <w:pPr>
        <w:spacing w:after="100" w:before="60"/>
      </w:pPr>
      <w:r>
        <w:rPr>
          <w:rFonts w:ascii="Arial" w:cs="Arial" w:eastAsia="Arial" w:hAnsi="Arial"/>
          <w:color w:val="374151"/>
          <w:sz w:val="22"/>
          <w:szCs w:val="22"/>
        </w:rPr>
        <w:t xml:space="preserve">The Operations Index is not a lagging indicator of what already happened. It is a leading signal of where the property is headed. Specifically, it is designed to detect:</w:t>
      </w:r>
    </w:p>
    <w:p>
      <w:pPr>
        <w:pStyle w:val="ListParagraph"/>
        <w:numPr>
          <w:ilvl w:val="0"/>
          <w:numId w:val="2"/>
        </w:numPr>
        <w:spacing w:after="40" w:before="40"/>
      </w:pPr>
      <w:r>
        <w:rPr>
          <w:rFonts w:ascii="Arial" w:cs="Arial" w:eastAsia="Arial" w:hAnsi="Arial"/>
          <w:color w:val="374151"/>
          <w:sz w:val="22"/>
          <w:szCs w:val="22"/>
        </w:rPr>
        <w:t xml:space="preserve">Properties that are filling vacancies too slowly relative to the portfolio, and will lose ground on occupancy if nothing changes.</w:t>
      </w:r>
    </w:p>
    <w:p>
      <w:pPr>
        <w:pStyle w:val="ListParagraph"/>
        <w:numPr>
          <w:ilvl w:val="0"/>
          <w:numId w:val="2"/>
        </w:numPr>
        <w:spacing w:after="40" w:before="40"/>
      </w:pPr>
      <w:r>
        <w:rPr>
          <w:rFonts w:ascii="Arial" w:cs="Arial" w:eastAsia="Arial" w:hAnsi="Arial"/>
          <w:color w:val="374151"/>
          <w:sz w:val="22"/>
          <w:szCs w:val="22"/>
        </w:rPr>
        <w:t xml:space="preserve">Properties where the schedule of upcoming expirations exceeds the pipeline of incoming leases — a coverage imbalance that predicts occupancy pressure 30–60 days out.</w:t>
      </w:r>
    </w:p>
    <w:p>
      <w:pPr>
        <w:pStyle w:val="ListParagraph"/>
        <w:numPr>
          <w:ilvl w:val="0"/>
          <w:numId w:val="2"/>
        </w:numPr>
        <w:spacing w:after="40" w:before="40"/>
      </w:pPr>
      <w:r>
        <w:rPr>
          <w:rFonts w:ascii="Arial" w:cs="Arial" w:eastAsia="Arial" w:hAnsi="Arial"/>
          <w:color w:val="374151"/>
          <w:sz w:val="22"/>
          <w:szCs w:val="22"/>
        </w:rPr>
        <w:t xml:space="preserve">Properties that have fallen out of SLA compliance on vacancy readiness or absorption pace, indicating a process breakdown in the physical turn or leasing workflow.</w:t>
      </w:r>
    </w:p>
    <w:p>
      <w:pPr>
        <w:pStyle w:val="ListParagraph"/>
        <w:numPr>
          <w:ilvl w:val="0"/>
          <w:numId w:val="2"/>
        </w:numPr>
        <w:spacing w:after="40" w:before="40"/>
      </w:pPr>
      <w:r>
        <w:rPr>
          <w:rFonts w:ascii="Arial" w:cs="Arial" w:eastAsia="Arial" w:hAnsi="Arial"/>
          <w:color w:val="374151"/>
          <w:sz w:val="22"/>
          <w:szCs w:val="22"/>
        </w:rPr>
        <w:t xml:space="preserve">Properties with high net unit loss (more move-outs than move-ins), indicating leasing momentum is not keeping pace with churn.</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E5E7EB" w:sz="1"/>
              <w:right w:val="single" w:color="E5E7EB" w:sz="1"/>
            </w:tcBorders>
            <w:shd w:fill="EFF4FB"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Design Principle</w:t>
            </w:r>
          </w:p>
          <w:p>
            <w:pPr>
              <w:spacing w:after="0" w:before="0"/>
            </w:pPr>
            <w:r>
              <w:rPr>
                <w:rFonts w:ascii="Arial" w:cs="Arial" w:eastAsia="Arial" w:hAnsi="Arial"/>
                <w:color w:val="374151"/>
                <w:sz w:val="20"/>
                <w:szCs w:val="20"/>
              </w:rPr>
              <w:t xml:space="preserve">The index is calibrated to be demanding. A score in the 60s is not failing — it is a property that is holding its own but with clear room to improve. Scores below 60 represent genuine operational risk that warrants investigation. Scores above 85 represent a benchmark standard that the best-run properties in the portfolio can achieve consistently.</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2. Calculation — How the Score Is Built</w:t>
      </w:r>
    </w:p>
    <w:p>
      <w:pPr>
        <w:spacing w:after="100" w:before="60"/>
      </w:pPr>
      <w:r>
        <w:rPr>
          <w:rFonts w:ascii="Arial" w:cs="Arial" w:eastAsia="Arial" w:hAnsi="Arial"/>
          <w:color w:val="374151"/>
          <w:sz w:val="22"/>
          <w:szCs w:val="22"/>
        </w:rPr>
        <w:t xml:space="preserve">The Operations Index is a weighted composite score ranging from 0 to 100. It is calculated entirely from fact table data — no survey inputs, no manual overrides. Every property receives a score as long as it has active operational data in the filter context.</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2.1 Architecture Pattern</w:t>
      </w:r>
    </w:p>
    <w:p>
      <w:pPr>
        <w:spacing w:after="100" w:before="60"/>
      </w:pPr>
      <w:r>
        <w:rPr>
          <w:rFonts w:ascii="Arial" w:cs="Arial" w:eastAsia="Arial" w:hAnsi="Arial"/>
          <w:color w:val="374151"/>
          <w:sz w:val="22"/>
          <w:szCs w:val="22"/>
        </w:rPr>
        <w:t xml:space="preserve">Each of the seven components follows the same normalization pattern: a raw metric value is mapped to a 0–100 scale by interpolating it between a defined minimum (scores 0) and maximum (scores 100). The normalized score is then clamped with MIN/MAX so values outside the defined range never produce scores below 0 or above 100.</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 General normalization pattern (higher = better direction):</w:t>
            </w:r>
          </w:p>
          <w:p>
            <w:pPr>
              <w:spacing w:after="20" w:before="20"/>
            </w:pPr>
            <w:r>
              <w:rPr>
                <w:rFonts w:ascii="Courier New" w:cs="Courier New" w:eastAsia="Courier New" w:hAnsi="Courier New"/>
                <w:color w:val="1E3A5F"/>
                <w:sz w:val="18"/>
                <w:szCs w:val="18"/>
              </w:rPr>
              <w:t xml:space="preserve">VAR Score = (RawValue - Min) / (Max - Min) * 100</w:t>
            </w:r>
          </w:p>
          <w:p>
            <w:pPr>
              <w:spacing w:after="20" w:before="20"/>
            </w:pPr>
            <w:r>
              <w:rPr>
                <w:rFonts w:ascii="Courier New" w:cs="Courier New" w:eastAsia="Courier New" w:hAnsi="Courier New"/>
                <w:color w:val="1E3A5F"/>
                <w:sz w:val="18"/>
                <w:szCs w:val="18"/>
              </w:rPr>
              <w:t xml:space="preserve">RETURN MIN(MAX(Score, 0), 100)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For inverted metrics (lower = better), the formula flips:</w:t>
            </w:r>
          </w:p>
          <w:p>
            <w:pPr>
              <w:spacing w:after="20" w:before="20"/>
            </w:pPr>
            <w:r>
              <w:rPr>
                <w:rFonts w:ascii="Courier New" w:cs="Courier New" w:eastAsia="Courier New" w:hAnsi="Courier New"/>
                <w:color w:val="1E3A5F"/>
                <w:sz w:val="18"/>
                <w:szCs w:val="18"/>
              </w:rPr>
              <w:t xml:space="preserve">VAR Score = (1 - (RawValue - Min) / (Max - Min))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2.2 Component Reference</w:t>
      </w:r>
    </w:p>
    <w:p>
      <w:pPr>
        <w:spacing w:after="100" w:before="60"/>
      </w:pPr>
      <w:r>
        <w:rPr>
          <w:rFonts w:ascii="Arial" w:cs="Arial" w:eastAsia="Arial" w:hAnsi="Arial"/>
          <w:color w:val="374151"/>
          <w:sz w:val="22"/>
          <w:szCs w:val="22"/>
        </w:rPr>
        <w:t xml:space="preserve">The table below defines all seven components — the metric each one reads, the direction of scoring, the min/max normalization range, and its weight in the final composite.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2000"/>
        <w:gridCol w:w="760"/>
      </w:tblGrid>
      <w:tr>
        <w:trPr>
          <w:tblHeader/>
        </w:trPr>
        <w:tc>
          <w:tcPr>
            <w:tcW w:type="dxa" w:w="1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 Used</w:t>
            </w:r>
          </w:p>
        </w:tc>
        <w:tc>
          <w:tcPr>
            <w:tcW w:type="dxa" w:w="16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Direction</w:t>
            </w:r>
          </w:p>
        </w:tc>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Min → Max Range</w:t>
            </w:r>
          </w:p>
        </w:tc>
        <w:tc>
          <w:tcPr>
            <w:tcW w:type="dxa" w:w="7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bCs/>
                <w:color w:val="1E2A3A"/>
                <w:sz w:val="20"/>
                <w:szCs w:val="20"/>
              </w:rPr>
              <w:t xml:space="preserve">Occupancy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Occupancy Rate %</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Higher = better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50% → 95%</w:t>
            </w:r>
          </w:p>
        </w:tc>
        <w:tc>
          <w:tcPr>
            <w:tcW w:type="dxa" w:w="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15%</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bCs/>
                <w:color w:val="1E2A3A"/>
                <w:sz w:val="20"/>
                <w:szCs w:val="20"/>
              </w:rPr>
              <w:t xml:space="preserve">Vacancy</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Vacant Ready Units / Total Units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Lower = better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3% → 20%</w:t>
            </w:r>
          </w:p>
        </w:tc>
        <w:tc>
          <w:tcPr>
            <w:tcW w:type="dxa" w:w="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15%</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bCs/>
                <w:color w:val="1E2A3A"/>
                <w:sz w:val="20"/>
                <w:szCs w:val="20"/>
              </w:rPr>
              <w:t xml:space="preserve">Absorption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Absorption Days (Est)</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Lower = better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15 → 90 days</w:t>
            </w:r>
          </w:p>
        </w:tc>
        <w:tc>
          <w:tcPr>
            <w:tcW w:type="dxa" w:w="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20%</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bCs/>
                <w:color w:val="1E2A3A"/>
                <w:sz w:val="20"/>
                <w:szCs w:val="20"/>
              </w:rPr>
              <w:t xml:space="preserve">Coverage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Coverage Ratio (Next 60D)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Higher = better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0.45 → 0.95</w:t>
            </w:r>
          </w:p>
        </w:tc>
        <w:tc>
          <w:tcPr>
            <w:tcW w:type="dxa" w:w="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15%</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bCs/>
                <w:color w:val="1E2A3A"/>
                <w:sz w:val="20"/>
                <w:szCs w:val="20"/>
              </w:rPr>
              <w:t xml:space="preserve">Lease Velocity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Lease Velocity</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Higher = better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0.02 → 0.20</w:t>
            </w:r>
          </w:p>
        </w:tc>
        <w:tc>
          <w:tcPr>
            <w:tcW w:type="dxa" w:w="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15%</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bCs/>
                <w:color w:val="1E2A3A"/>
                <w:sz w:val="20"/>
                <w:szCs w:val="20"/>
              </w:rPr>
              <w:t xml:space="preserve">Net Absorption</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Net Absorption / Total Units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Higher = better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−10% → +10%</w:t>
            </w:r>
          </w:p>
        </w:tc>
        <w:tc>
          <w:tcPr>
            <w:tcW w:type="dxa" w:w="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10%</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bCs/>
                <w:color w:val="1E2A3A"/>
                <w:sz w:val="20"/>
                <w:szCs w:val="20"/>
              </w:rPr>
              <w:t xml:space="preserve">SLA Compliance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Within SLA (1/0)</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Binary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0 or 100</w:t>
            </w:r>
          </w:p>
        </w:tc>
        <w:tc>
          <w:tcPr>
            <w:tcW w:type="dxa" w:w="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r>
              <w:rPr>
                <w:rFonts w:ascii="Arial" w:cs="Arial" w:eastAsia="Arial" w:hAnsi="Arial"/>
                <w:b w:val="false"/>
                <w:bCs w:val="false"/>
                <w:color w:val="374151"/>
                <w:sz w:val="20"/>
                <w:szCs w:val="20"/>
              </w:rPr>
              <w:t xml:space="preserve">10%</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2.3 Component Formulas</w:t>
      </w:r>
    </w:p>
    <w:p>
      <w:pPr>
        <w:pStyle w:val="Heading3"/>
        <w:spacing w:after="80" w:before="200"/>
      </w:pPr>
      <w:r>
        <w:rPr>
          <w:rFonts w:ascii="Arial" w:cs="Arial" w:eastAsia="Arial" w:hAnsi="Arial"/>
          <w:b/>
          <w:bCs/>
          <w:color w:val="2563EB"/>
          <w:sz w:val="22"/>
          <w:szCs w:val="22"/>
        </w:rPr>
        <w:t xml:space="preserve">Occupancy (15%)</w:t>
      </w:r>
    </w:p>
    <w:p>
      <w:pPr>
        <w:spacing w:after="100" w:before="60"/>
      </w:pPr>
      <w:r>
        <w:rPr>
          <w:rFonts w:ascii="Arial" w:cs="Arial" w:eastAsia="Arial" w:hAnsi="Arial"/>
          <w:color w:val="374151"/>
          <w:sz w:val="22"/>
          <w:szCs w:val="22"/>
        </w:rPr>
        <w:t xml:space="preserve">Reads the current occupancy rate as a percentage of occupied units over total units. Higher is better. A property at full occupancy (95%+) scores 100; a property at or below 50% occupancy scores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Occupancy =</w:t>
            </w:r>
          </w:p>
          <w:p>
            <w:pPr>
              <w:spacing w:after="20" w:before="20"/>
            </w:pPr>
            <w:r>
              <w:rPr>
                <w:rFonts w:ascii="Courier New" w:cs="Courier New" w:eastAsia="Courier New" w:hAnsi="Courier New"/>
                <w:color w:val="1E3A5F"/>
                <w:sz w:val="18"/>
                <w:szCs w:val="18"/>
              </w:rPr>
              <w:t xml:space="preserve">VAR OccRate = [Occupancy Rate %]</w:t>
            </w:r>
          </w:p>
          <w:p>
            <w:pPr>
              <w:spacing w:after="20" w:before="20"/>
            </w:pPr>
            <w:r>
              <w:rPr>
                <w:rFonts w:ascii="Courier New" w:cs="Courier New" w:eastAsia="Courier New" w:hAnsi="Courier New"/>
                <w:color w:val="1E3A5F"/>
                <w:sz w:val="18"/>
                <w:szCs w:val="18"/>
              </w:rPr>
              <w:t xml:space="preserve">VAR Score = (OccRate - 0.75) / (0.97 - 0.75)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Vacancy (15%)</w:t>
      </w:r>
    </w:p>
    <w:p>
      <w:pPr>
        <w:spacing w:after="100" w:before="60"/>
      </w:pPr>
      <w:r>
        <w:rPr>
          <w:rFonts w:ascii="Arial" w:cs="Arial" w:eastAsia="Arial" w:hAnsi="Arial"/>
          <w:color w:val="374151"/>
          <w:sz w:val="22"/>
          <w:szCs w:val="22"/>
        </w:rPr>
        <w:t xml:space="preserve">Measures the vacant ready unit rate — units that are physically available and ready to lease. Lower vacancy is better. The range is calibrated so a 3% vacancy rate scores 100 and a 20% vacancy rate scores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Vacancy =</w:t>
            </w:r>
          </w:p>
          <w:p>
            <w:pPr>
              <w:spacing w:after="20" w:before="20"/>
            </w:pPr>
            <w:r>
              <w:rPr>
                <w:rFonts w:ascii="Courier New" w:cs="Courier New" w:eastAsia="Courier New" w:hAnsi="Courier New"/>
                <w:color w:val="1E3A5F"/>
                <w:sz w:val="18"/>
                <w:szCs w:val="18"/>
              </w:rPr>
              <w:t xml:space="preserve">VAR VacantUnits = [Vacant Ready Units (Est)]</w:t>
            </w:r>
          </w:p>
          <w:p>
            <w:pPr>
              <w:spacing w:after="20" w:before="20"/>
            </w:pPr>
            <w:r>
              <w:rPr>
                <w:rFonts w:ascii="Courier New" w:cs="Courier New" w:eastAsia="Courier New" w:hAnsi="Courier New"/>
                <w:color w:val="1E3A5F"/>
                <w:sz w:val="18"/>
                <w:szCs w:val="18"/>
              </w:rPr>
              <w:t xml:space="preserve">VAR TotalUnits = [Total Units]</w:t>
            </w:r>
          </w:p>
          <w:p>
            <w:pPr>
              <w:spacing w:after="20" w:before="20"/>
            </w:pPr>
            <w:r>
              <w:rPr>
                <w:rFonts w:ascii="Courier New" w:cs="Courier New" w:eastAsia="Courier New" w:hAnsi="Courier New"/>
                <w:color w:val="1E3A5F"/>
                <w:sz w:val="18"/>
                <w:szCs w:val="18"/>
              </w:rPr>
              <w:t xml:space="preserve">VAR VacancyRate = DIVIDE(VacantUnits, TotalUnits)</w:t>
            </w:r>
          </w:p>
          <w:p>
            <w:pPr>
              <w:spacing w:after="20" w:before="20"/>
            </w:pPr>
            <w:r>
              <w:rPr>
                <w:rFonts w:ascii="Courier New" w:cs="Courier New" w:eastAsia="Courier New" w:hAnsi="Courier New"/>
                <w:color w:val="1E3A5F"/>
                <w:sz w:val="18"/>
                <w:szCs w:val="18"/>
              </w:rPr>
              <w:t xml:space="preserve">VAR Score = (1 - (VacancyRate - 0.03) / (0.20 - 0.03))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Absorption (20% — highest weight)</w:t>
      </w:r>
    </w:p>
    <w:p>
      <w:pPr>
        <w:spacing w:after="100" w:before="60"/>
      </w:pPr>
      <w:r>
        <w:rPr>
          <w:rFonts w:ascii="Arial" w:cs="Arial" w:eastAsia="Arial" w:hAnsi="Arial"/>
          <w:color w:val="374151"/>
          <w:sz w:val="22"/>
          <w:szCs w:val="22"/>
        </w:rPr>
        <w:t xml:space="preserve">Measures how many days it takes to fill a vacant unit from the time it becomes available. Fewer days is better. Properties absorbing in 15 days or less score 100; properties taking 90 or more days score 0. Absorption carries the highest weight because it most directly reflects the speed at which the property is converting supply into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Absorption =</w:t>
            </w:r>
          </w:p>
          <w:p>
            <w:pPr>
              <w:spacing w:after="20" w:before="20"/>
            </w:pPr>
            <w:r>
              <w:rPr>
                <w:rFonts w:ascii="Courier New" w:cs="Courier New" w:eastAsia="Courier New" w:hAnsi="Courier New"/>
                <w:color w:val="1E3A5F"/>
                <w:sz w:val="18"/>
                <w:szCs w:val="18"/>
              </w:rPr>
              <w:t xml:space="preserve">VAR Days = [Absorption Days (Est)]</w:t>
            </w:r>
          </w:p>
          <w:p>
            <w:pPr>
              <w:spacing w:after="20" w:before="20"/>
            </w:pPr>
            <w:r>
              <w:rPr>
                <w:rFonts w:ascii="Courier New" w:cs="Courier New" w:eastAsia="Courier New" w:hAnsi="Courier New"/>
                <w:color w:val="1E3A5F"/>
                <w:sz w:val="18"/>
                <w:szCs w:val="18"/>
              </w:rPr>
              <w:t xml:space="preserve">VAR Score = (1 - (Days - 15) / (90 - 15))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Coverage (15%)</w:t>
      </w:r>
    </w:p>
    <w:p>
      <w:pPr>
        <w:spacing w:after="100" w:before="60"/>
      </w:pPr>
      <w:r>
        <w:rPr>
          <w:rFonts w:ascii="Arial" w:cs="Arial" w:eastAsia="Arial" w:hAnsi="Arial"/>
          <w:color w:val="374151"/>
          <w:sz w:val="22"/>
          <w:szCs w:val="22"/>
        </w:rPr>
        <w:t xml:space="preserve">Measures the ratio of scheduled move-ins to lease expirations over the next 60 days. A ratio above 0.95 means enough incoming leases are scheduled to offset upcoming expirations — the property is adequately covered. A ratio below 0.45 means significant exposure. The ceiling was updated from 1.20 to 0.95 in v7 to better reflect realistic portfolio data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Coverage =</w:t>
            </w:r>
          </w:p>
          <w:p>
            <w:pPr>
              <w:spacing w:after="20" w:before="20"/>
            </w:pPr>
            <w:r>
              <w:rPr>
                <w:rFonts w:ascii="Courier New" w:cs="Courier New" w:eastAsia="Courier New" w:hAnsi="Courier New"/>
                <w:color w:val="1E3A5F"/>
                <w:sz w:val="18"/>
                <w:szCs w:val="18"/>
              </w:rPr>
              <w:t xml:space="preserve">VAR CoverageRatio = [Coverage Ratio (Next 60D)]</w:t>
            </w:r>
          </w:p>
          <w:p>
            <w:pPr>
              <w:spacing w:after="20" w:before="20"/>
            </w:pPr>
            <w:r>
              <w:rPr>
                <w:rFonts w:ascii="Courier New" w:cs="Courier New" w:eastAsia="Courier New" w:hAnsi="Courier New"/>
                <w:color w:val="1E3A5F"/>
                <w:sz w:val="18"/>
                <w:szCs w:val="18"/>
              </w:rPr>
              <w:t xml:space="preserve">-- v7: ceiling lowered 1.20 → 0.95 to match realistic data distribution.</w:t>
            </w:r>
          </w:p>
          <w:p>
            <w:pPr>
              <w:spacing w:after="20" w:before="20"/>
            </w:pPr>
            <w:r>
              <w:rPr>
                <w:rFonts w:ascii="Courier New" w:cs="Courier New" w:eastAsia="Courier New" w:hAnsi="Courier New"/>
                <w:color w:val="1E3A5F"/>
                <w:sz w:val="18"/>
                <w:szCs w:val="18"/>
              </w:rPr>
              <w:t xml:space="preserve">VAR Score = (CoverageRatio - 0.45) / (0.95 - 0.45)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Lease Velocity (15%)</w:t>
      </w:r>
    </w:p>
    <w:p>
      <w:pPr>
        <w:spacing w:after="100" w:before="60"/>
      </w:pPr>
      <w:r>
        <w:rPr>
          <w:rFonts w:ascii="Arial" w:cs="Arial" w:eastAsia="Arial" w:hAnsi="Arial"/>
          <w:color w:val="374151"/>
          <w:sz w:val="22"/>
          <w:szCs w:val="22"/>
        </w:rPr>
        <w:t xml:space="preserve">Measures the daily rate at which new leases are being signed, expressed as a fraction of total units. Higher velocity means the leasing office is generating signed leases at a healthy pace. The range is calibrated to the realistic pace achievable across the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Lease Velocity =</w:t>
            </w:r>
          </w:p>
          <w:p>
            <w:pPr>
              <w:spacing w:after="20" w:before="20"/>
            </w:pPr>
            <w:r>
              <w:rPr>
                <w:rFonts w:ascii="Courier New" w:cs="Courier New" w:eastAsia="Courier New" w:hAnsi="Courier New"/>
                <w:color w:val="1E3A5F"/>
                <w:sz w:val="18"/>
                <w:szCs w:val="18"/>
              </w:rPr>
              <w:t xml:space="preserve">VAR Velocity = [Lease Velocity]</w:t>
            </w:r>
          </w:p>
          <w:p>
            <w:pPr>
              <w:spacing w:after="20" w:before="20"/>
            </w:pPr>
            <w:r>
              <w:rPr>
                <w:rFonts w:ascii="Courier New" w:cs="Courier New" w:eastAsia="Courier New" w:hAnsi="Courier New"/>
                <w:color w:val="1E3A5F"/>
                <w:sz w:val="18"/>
                <w:szCs w:val="18"/>
              </w:rPr>
              <w:t xml:space="preserve">VAR Score = (Velocity - 0.02) / (0.20 - 0.02)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Net Absorption (10%)</w:t>
      </w:r>
    </w:p>
    <w:p>
      <w:pPr>
        <w:spacing w:after="100" w:before="60"/>
      </w:pPr>
      <w:r>
        <w:rPr>
          <w:rFonts w:ascii="Arial" w:cs="Arial" w:eastAsia="Arial" w:hAnsi="Arial"/>
          <w:color w:val="374151"/>
          <w:sz w:val="22"/>
          <w:szCs w:val="22"/>
        </w:rPr>
        <w:t xml:space="preserve">Measures net unit flow — the difference between move-ins and move-outs, normalized by total units. Positive net absorption (more move-ins than move-outs) scores high. Negative net absorption (the property is losing more residents than it is gaining) scores low. The range spans from −10% to +10% of total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Net Absorption =</w:t>
            </w:r>
          </w:p>
          <w:p>
            <w:pPr>
              <w:spacing w:after="20" w:before="20"/>
            </w:pPr>
            <w:r>
              <w:rPr>
                <w:rFonts w:ascii="Courier New" w:cs="Courier New" w:eastAsia="Courier New" w:hAnsi="Courier New"/>
                <w:color w:val="1E3A5F"/>
                <w:sz w:val="18"/>
                <w:szCs w:val="18"/>
              </w:rPr>
              <w:t xml:space="preserve">VAR NetAbsorption = [Net Absorption]</w:t>
            </w:r>
          </w:p>
          <w:p>
            <w:pPr>
              <w:spacing w:after="20" w:before="20"/>
            </w:pPr>
            <w:r>
              <w:rPr>
                <w:rFonts w:ascii="Courier New" w:cs="Courier New" w:eastAsia="Courier New" w:hAnsi="Courier New"/>
                <w:color w:val="1E3A5F"/>
                <w:sz w:val="18"/>
                <w:szCs w:val="18"/>
              </w:rPr>
              <w:t xml:space="preserve">VAR TotalUnits = [Total Units]</w:t>
            </w:r>
          </w:p>
          <w:p>
            <w:pPr>
              <w:spacing w:after="20" w:before="20"/>
            </w:pPr>
            <w:r>
              <w:rPr>
                <w:rFonts w:ascii="Courier New" w:cs="Courier New" w:eastAsia="Courier New" w:hAnsi="Courier New"/>
                <w:color w:val="1E3A5F"/>
                <w:sz w:val="18"/>
                <w:szCs w:val="18"/>
              </w:rPr>
              <w:t xml:space="preserve">VAR NormalizedAbsorption = DIVIDE(NetAbsorption, TotalUnits, 0)</w:t>
            </w:r>
          </w:p>
          <w:p>
            <w:pPr>
              <w:spacing w:after="20" w:before="20"/>
            </w:pPr>
            <w:r>
              <w:rPr>
                <w:rFonts w:ascii="Courier New" w:cs="Courier New" w:eastAsia="Courier New" w:hAnsi="Courier New"/>
                <w:color w:val="1E3A5F"/>
                <w:sz w:val="18"/>
                <w:szCs w:val="18"/>
              </w:rPr>
              <w:t xml:space="preserve">VAR Score = ((NormalizedAbsorption - (-0.10)) / (0.10 - (-0.10))) * 100</w:t>
            </w:r>
          </w:p>
          <w:p>
            <w:pPr>
              <w:spacing w:after="20" w:before="20"/>
            </w:pPr>
            <w:r>
              <w:rPr>
                <w:rFonts w:ascii="Courier New" w:cs="Courier New" w:eastAsia="Courier New" w:hAnsi="Courier New"/>
                <w:color w:val="1E3A5F"/>
                <w:sz w:val="18"/>
                <w:szCs w:val="18"/>
              </w:rPr>
              <w:t xml:space="preserve">RETURN MIN(MAX(Score, 0), 100)</w:t>
            </w:r>
          </w:p>
        </w:tc>
      </w:tr>
    </w:tbl>
    <w:p>
      <w:pPr>
        <w:spacing w:after="100" w:before="80"/>
      </w:pPr>
      <w:r>
        <w:t xml:space="preserve"/>
      </w:r>
    </w:p>
    <w:p>
      <w:pPr>
        <w:pStyle w:val="Heading3"/>
        <w:spacing w:after="80" w:before="200"/>
      </w:pPr>
      <w:r>
        <w:rPr>
          <w:rFonts w:ascii="Arial" w:cs="Arial" w:eastAsia="Arial" w:hAnsi="Arial"/>
          <w:b/>
          <w:bCs/>
          <w:color w:val="2563EB"/>
          <w:sz w:val="22"/>
          <w:szCs w:val="22"/>
        </w:rPr>
        <w:t xml:space="preserve">SLA Compliance (10%)</w:t>
      </w:r>
    </w:p>
    <w:p>
      <w:pPr>
        <w:spacing w:after="100" w:before="60"/>
      </w:pPr>
      <w:r>
        <w:rPr>
          <w:rFonts w:ascii="Arial" w:cs="Arial" w:eastAsia="Arial" w:hAnsi="Arial"/>
          <w:color w:val="374151"/>
          <w:sz w:val="22"/>
          <w:szCs w:val="22"/>
        </w:rPr>
        <w:t xml:space="preserve">A binary gate: a property either meets both SLA thresholds simultaneously or it does not. The two thresholds are dynamic, calculated at the 75th percentile of the portfolio: Vacant Ready % must be at or below the SLA exposure threshold, AND Absorption Days must be at or below the SLA days threshold. A property that fails either threshold scores 0 on this component regardless of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SLA Compliance =</w:t>
            </w:r>
          </w:p>
          <w:p>
            <w:pPr>
              <w:spacing w:after="20" w:before="20"/>
            </w:pPr>
            <w:r>
              <w:rPr>
                <w:rFonts w:ascii="Courier New" w:cs="Courier New" w:eastAsia="Courier New" w:hAnsi="Courier New"/>
                <w:color w:val="1E3A5F"/>
                <w:sz w:val="18"/>
                <w:szCs w:val="18"/>
              </w:rPr>
              <w:t xml:space="preserve">VAR SLACompliance = [Within SLA (1/0)]</w:t>
            </w:r>
          </w:p>
          <w:p>
            <w:pPr>
              <w:spacing w:after="20" w:before="20"/>
            </w:pPr>
            <w:r>
              <w:rPr>
                <w:rFonts w:ascii="Courier New" w:cs="Courier New" w:eastAsia="Courier New" w:hAnsi="Courier New"/>
                <w:color w:val="1E3A5F"/>
                <w:sz w:val="18"/>
                <w:szCs w:val="18"/>
              </w:rPr>
              <w:t xml:space="preserve">RETURN SLACompliance * 100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Within SLA (1/0) =</w:t>
            </w:r>
          </w:p>
          <w:p>
            <w:pPr>
              <w:spacing w:after="20" w:before="20"/>
            </w:pPr>
            <w:r>
              <w:rPr>
                <w:rFonts w:ascii="Courier New" w:cs="Courier New" w:eastAsia="Courier New" w:hAnsi="Courier New"/>
                <w:color w:val="1E3A5F"/>
                <w:sz w:val="18"/>
                <w:szCs w:val="18"/>
              </w:rPr>
              <w:t xml:space="preserve">-- IF(</w:t>
            </w:r>
          </w:p>
          <w:p>
            <w:pPr>
              <w:spacing w:after="20" w:before="20"/>
            </w:pPr>
            <w:r>
              <w:rPr>
                <w:rFonts w:ascii="Courier New" w:cs="Courier New" w:eastAsia="Courier New" w:hAnsi="Courier New"/>
                <w:color w:val="1E3A5F"/>
                <w:sz w:val="18"/>
                <w:szCs w:val="18"/>
              </w:rPr>
              <w:t xml:space="preserve">--     [Vacant Ready %] &lt;= [SLA Exposure %]    -- 75th pct of portfolio</w:t>
            </w:r>
          </w:p>
          <w:p>
            <w:pPr>
              <w:spacing w:after="20" w:before="20"/>
            </w:pPr>
            <w:r>
              <w:rPr>
                <w:rFonts w:ascii="Courier New" w:cs="Courier New" w:eastAsia="Courier New" w:hAnsi="Courier New"/>
                <w:color w:val="1E3A5F"/>
                <w:sz w:val="18"/>
                <w:szCs w:val="18"/>
              </w:rPr>
              <w:t xml:space="preserve">--         &amp;&amp; [Absorption Days] &lt;= [SLA Days], -- 75th pct of portfolio</w:t>
            </w:r>
          </w:p>
          <w:p>
            <w:pPr>
              <w:spacing w:after="20" w:before="20"/>
            </w:pPr>
            <w:r>
              <w:rPr>
                <w:rFonts w:ascii="Courier New" w:cs="Courier New" w:eastAsia="Courier New" w:hAnsi="Courier New"/>
                <w:color w:val="1E3A5F"/>
                <w:sz w:val="18"/>
                <w:szCs w:val="18"/>
              </w:rPr>
              <w:t xml:space="preserve">--     1, 0</w:t>
            </w:r>
          </w:p>
          <w:p>
            <w:pPr>
              <w:spacing w:after="20" w:before="20"/>
            </w:pPr>
            <w:r>
              <w:rPr>
                <w:rFonts w:ascii="Courier New" w:cs="Courier New" w:eastAsia="Courier New" w:hAnsi="Courier New"/>
                <w:color w:val="1E3A5F"/>
                <w:sz w:val="18"/>
                <w:szCs w:val="18"/>
              </w:rPr>
              <w:t xml:space="preserve">-- )</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2.4 Final Score Composition</w:t>
      </w:r>
    </w:p>
    <w:p>
      <w:pPr>
        <w:spacing w:after="100" w:before="60"/>
      </w:pPr>
      <w:r>
        <w:rPr>
          <w:rFonts w:ascii="Arial" w:cs="Arial" w:eastAsia="Arial" w:hAnsi="Arial"/>
          <w:color w:val="374151"/>
          <w:sz w:val="22"/>
          <w:szCs w:val="22"/>
        </w:rPr>
        <w:t xml:space="preserve">The seven component scores are multiplied by their weights and summed to produce the final Operations Index Score. The master DAX measure reads the pre-built component measures directly.</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Operations Index Score =</w:t>
            </w:r>
          </w:p>
          <w:p>
            <w:pPr>
              <w:spacing w:after="20" w:before="20"/>
            </w:pPr>
            <w:r>
              <w:rPr>
                <w:rFonts w:ascii="Courier New" w:cs="Courier New" w:eastAsia="Courier New" w:hAnsi="Courier New"/>
                <w:color w:val="1E3A5F"/>
                <w:sz w:val="18"/>
                <w:szCs w:val="18"/>
              </w:rPr>
              <w:t xml:space="preserve">VAR OccupancyScore    = [Ops Index - Occupancy]     * 0.15</w:t>
            </w:r>
          </w:p>
          <w:p>
            <w:pPr>
              <w:spacing w:after="20" w:before="20"/>
            </w:pPr>
            <w:r>
              <w:rPr>
                <w:rFonts w:ascii="Courier New" w:cs="Courier New" w:eastAsia="Courier New" w:hAnsi="Courier New"/>
                <w:color w:val="1E3A5F"/>
                <w:sz w:val="18"/>
                <w:szCs w:val="18"/>
              </w:rPr>
              <w:t xml:space="preserve">VAR VacancyScore      = [Ops Index - Vacancy]       * 0.15</w:t>
            </w:r>
          </w:p>
          <w:p>
            <w:pPr>
              <w:spacing w:after="20" w:before="20"/>
            </w:pPr>
            <w:r>
              <w:rPr>
                <w:rFonts w:ascii="Courier New" w:cs="Courier New" w:eastAsia="Courier New" w:hAnsi="Courier New"/>
                <w:color w:val="1E3A5F"/>
                <w:sz w:val="18"/>
                <w:szCs w:val="18"/>
              </w:rPr>
              <w:t xml:space="preserve">VAR AbsorptionScore   = [Ops Index - Absorption]    * 0.20</w:t>
            </w:r>
          </w:p>
          <w:p>
            <w:pPr>
              <w:spacing w:after="20" w:before="20"/>
            </w:pPr>
            <w:r>
              <w:rPr>
                <w:rFonts w:ascii="Courier New" w:cs="Courier New" w:eastAsia="Courier New" w:hAnsi="Courier New"/>
                <w:color w:val="1E3A5F"/>
                <w:sz w:val="18"/>
                <w:szCs w:val="18"/>
              </w:rPr>
              <w:t xml:space="preserve">VAR CoverageScore     = [Ops Index - Coverage]      * 0.15</w:t>
            </w:r>
          </w:p>
          <w:p>
            <w:pPr>
              <w:spacing w:after="20" w:before="20"/>
            </w:pPr>
            <w:r>
              <w:rPr>
                <w:rFonts w:ascii="Courier New" w:cs="Courier New" w:eastAsia="Courier New" w:hAnsi="Courier New"/>
                <w:color w:val="1E3A5F"/>
                <w:sz w:val="18"/>
                <w:szCs w:val="18"/>
              </w:rPr>
              <w:t xml:space="preserve">VAR LeaseVelocityScore= [Ops Index - Lease Velocity]* 0.15</w:t>
            </w:r>
          </w:p>
          <w:p>
            <w:pPr>
              <w:spacing w:after="20" w:before="20"/>
            </w:pPr>
            <w:r>
              <w:rPr>
                <w:rFonts w:ascii="Courier New" w:cs="Courier New" w:eastAsia="Courier New" w:hAnsi="Courier New"/>
                <w:color w:val="1E3A5F"/>
                <w:sz w:val="18"/>
                <w:szCs w:val="18"/>
              </w:rPr>
              <w:t xml:space="preserve">VAR NetAbsorptionScore= [Ops Index - Net Absorption]* 0.10</w:t>
            </w:r>
          </w:p>
          <w:p>
            <w:pPr>
              <w:spacing w:after="20" w:before="20"/>
            </w:pPr>
            <w:r>
              <w:rPr>
                <w:rFonts w:ascii="Courier New" w:cs="Courier New" w:eastAsia="Courier New" w:hAnsi="Courier New"/>
                <w:color w:val="1E3A5F"/>
                <w:sz w:val="18"/>
                <w:szCs w:val="18"/>
              </w:rPr>
              <w:t xml:space="preserve">VAR SLAComplianceScore= [Ops Index - SLA Compliance]* 0.10</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    OccupancyScore + VacancyScore + AbsorptionScore +</w:t>
            </w:r>
          </w:p>
          <w:p>
            <w:pPr>
              <w:spacing w:after="20" w:before="20"/>
            </w:pPr>
            <w:r>
              <w:rPr>
                <w:rFonts w:ascii="Courier New" w:cs="Courier New" w:eastAsia="Courier New" w:hAnsi="Courier New"/>
                <w:color w:val="1E3A5F"/>
                <w:sz w:val="18"/>
                <w:szCs w:val="18"/>
              </w:rPr>
              <w:t xml:space="preserve">    CoverageScore  + LeaseVelocityScore +</w:t>
            </w:r>
          </w:p>
          <w:p>
            <w:pPr>
              <w:spacing w:after="20" w:before="20"/>
            </w:pPr>
            <w:r>
              <w:rPr>
                <w:rFonts w:ascii="Courier New" w:cs="Courier New" w:eastAsia="Courier New" w:hAnsi="Courier New"/>
                <w:color w:val="1E3A5F"/>
                <w:sz w:val="18"/>
                <w:szCs w:val="18"/>
              </w:rPr>
              <w:t xml:space="preserve">    NetAbsorptionScore + SLAComplianceScore</w:t>
            </w:r>
          </w:p>
        </w:tc>
      </w:tr>
    </w:tbl>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16"/>
              <w:bottom w:val="single" w:color="E5E7EB" w:sz="1"/>
              <w:right w:val="single" w:color="E5E7EB" w:sz="1"/>
            </w:tcBorders>
            <w:shd w:fill="FFF7ED" w:val="clear"/>
            <w:tcMar>
              <w:top w:type="dxa" w:w="120"/>
              <w:left w:type="dxa" w:w="160"/>
              <w:bottom w:type="dxa" w:w="120"/>
              <w:right w:type="dxa" w:w="160"/>
            </w:tcMar>
          </w:tcPr>
          <w:p>
            <w:pPr>
              <w:spacing w:after="40" w:before="0"/>
            </w:pPr>
            <w:r>
              <w:rPr>
                <w:rFonts w:ascii="Arial" w:cs="Arial" w:eastAsia="Arial" w:hAnsi="Arial"/>
                <w:b/>
                <w:bCs/>
                <w:color w:val="F97316"/>
                <w:sz w:val="20"/>
                <w:szCs w:val="20"/>
              </w:rPr>
              <w:t xml:space="preserve">Weight Rationale</w:t>
            </w:r>
          </w:p>
          <w:p>
            <w:pPr>
              <w:spacing w:after="0" w:before="0"/>
            </w:pPr>
            <w:r>
              <w:rPr>
                <w:rFonts w:ascii="Arial" w:cs="Arial" w:eastAsia="Arial" w:hAnsi="Arial"/>
                <w:color w:val="374151"/>
                <w:sz w:val="20"/>
                <w:szCs w:val="20"/>
              </w:rPr>
              <w:t xml:space="preserve">Absorption (20%) carries the most weight because it is the most direct measure of operational throughput — how fast a vacant unit becomes a leased unit. Occupancy, Vacancy, Coverage, and Lease Velocity each carry 15% because they are complementary leading signals of the same dynamic. Net Absorption and SLA Compliance each carry 10%: Net Absorption is important but partially captured by the occupancy and vacancy components; SLA Compliance is a gate that matters but its binary nature limits its continuous signal value.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3. Performance Tiers</w:t>
      </w:r>
    </w:p>
    <w:p>
      <w:pPr>
        <w:spacing w:after="100" w:before="60"/>
      </w:pPr>
      <w:r>
        <w:rPr>
          <w:rFonts w:ascii="Arial" w:cs="Arial" w:eastAsia="Arial" w:hAnsi="Arial"/>
          <w:color w:val="374151"/>
          <w:sz w:val="22"/>
          <w:szCs w:val="22"/>
        </w:rPr>
        <w:t xml:space="preserve">The Operations Index Score is translated into a named performance tier for display in all visuals. The tier thresholds are calibrated to the realistic distribution of scores across a 120-property portfolio, not to arbitrary round numbers.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440"/>
        <w:gridCol w:w="1200"/>
        <w:gridCol w:w="6400"/>
      </w:tblGrid>
      <w:tr>
        <w:trPr>
          <w:tblHeader/>
        </w:trPr>
        <w:tc>
          <w:tcPr>
            <w:tcW w:type="dxa" w:w="32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144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12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Score Range</w:t>
            </w:r>
          </w:p>
        </w:tc>
        <w:tc>
          <w:tcPr>
            <w:tcW w:type="dxa" w:w="64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32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44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r>
              <w:rPr>
                <w:rFonts w:ascii="Arial" w:cs="Arial" w:eastAsia="Arial" w:hAnsi="Arial"/>
                <w:b/>
                <w:bCs/>
                <w:color w:val="22C55E"/>
                <w:sz w:val="20"/>
                <w:szCs w:val="20"/>
              </w:rPr>
              <w:t xml:space="preserve">Optimized</w:t>
            </w:r>
          </w:p>
        </w:tc>
        <w:tc>
          <w:tcPr>
            <w:tcW w:type="dxa" w:w="12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 85</w:t>
            </w:r>
          </w:p>
        </w:tc>
        <w:tc>
          <w:tcPr>
            <w:tcW w:type="dxa" w:w="6400"/>
            <w:tcBorders>
              <w:top w:val="single" w:color="E5E7EB" w:sz="1"/>
              <w:left w:val="single" w:color="E5E7EB" w:sz="1"/>
              <w:bottom w:val="single" w:color="E5E7EB" w:sz="1"/>
              <w:right w:val="single" w:color="E5E7EB" w:sz="1"/>
            </w:tcBorders>
            <w:shd w:fill="EFF6EF" w:val="clear"/>
            <w:tcMar>
              <w:top w:type="dxa" w:w="100"/>
              <w:left w:type="dxa" w:w="140"/>
              <w:bottom w:type="dxa" w:w="100"/>
              <w:right w:type="dxa" w:w="140"/>
            </w:tcMar>
            <w:vAlign w:val="center"/>
          </w:tcPr>
          <w:p>
            <w:r>
              <w:rPr>
                <w:rFonts w:ascii="Arial" w:cs="Arial" w:eastAsia="Arial" w:hAnsi="Arial"/>
                <w:color w:val="374151"/>
                <w:sz w:val="20"/>
                <w:szCs w:val="20"/>
              </w:rPr>
              <w:t xml:space="preserve">Portfolio benchmark performer. Stable occupancy, fast absorption, and healthy coverage. Minimal leasing intervention required.</w:t>
            </w:r>
          </w:p>
        </w:tc>
      </w:tr>
      <w:tr>
        <w:tc>
          <w:tcPr>
            <w:tcW w:type="dxa" w:w="32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44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r>
              <w:rPr>
                <w:rFonts w:ascii="Arial" w:cs="Arial" w:eastAsia="Arial" w:hAnsi="Arial"/>
                <w:b/>
                <w:bCs/>
                <w:color w:val="EAB308"/>
                <w:sz w:val="20"/>
                <w:szCs w:val="20"/>
              </w:rPr>
              <w:t xml:space="preserve">Optimizing</w:t>
            </w:r>
          </w:p>
        </w:tc>
        <w:tc>
          <w:tcPr>
            <w:tcW w:type="dxa" w:w="12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65 – 84</w:t>
            </w:r>
          </w:p>
        </w:tc>
        <w:tc>
          <w:tcPr>
            <w:tcW w:type="dxa" w:w="6400"/>
            <w:tcBorders>
              <w:top w:val="single" w:color="E5E7EB" w:sz="1"/>
              <w:left w:val="single" w:color="E5E7EB" w:sz="1"/>
              <w:bottom w:val="single" w:color="E5E7EB" w:sz="1"/>
              <w:right w:val="single" w:color="E5E7EB" w:sz="1"/>
            </w:tcBorders>
            <w:shd w:fill="FEFCE8" w:val="clear"/>
            <w:tcMar>
              <w:top w:type="dxa" w:w="100"/>
              <w:left w:type="dxa" w:w="140"/>
              <w:bottom w:type="dxa" w:w="100"/>
              <w:right w:type="dxa" w:w="140"/>
            </w:tcMar>
            <w:vAlign w:val="center"/>
          </w:tcPr>
          <w:p>
            <w:r>
              <w:rPr>
                <w:rFonts w:ascii="Arial" w:cs="Arial" w:eastAsia="Arial" w:hAnsi="Arial"/>
                <w:color w:val="374151"/>
                <w:sz w:val="20"/>
                <w:szCs w:val="20"/>
              </w:rPr>
              <w:t xml:space="preserve">Performing within acceptable range with room to improve. One or two components lagging — targeted action can drive score into Optimized.</w:t>
            </w:r>
          </w:p>
        </w:tc>
      </w:tr>
      <w:tr>
        <w:tc>
          <w:tcPr>
            <w:tcW w:type="dxa" w:w="32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44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r>
              <w:rPr>
                <w:rFonts w:ascii="Arial" w:cs="Arial" w:eastAsia="Arial" w:hAnsi="Arial"/>
                <w:b/>
                <w:bCs/>
                <w:color w:val="F97316"/>
                <w:sz w:val="20"/>
                <w:szCs w:val="20"/>
              </w:rPr>
              <w:t xml:space="preserve">At Risk</w:t>
            </w:r>
          </w:p>
        </w:tc>
        <w:tc>
          <w:tcPr>
            <w:tcW w:type="dxa" w:w="12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60 – 64</w:t>
            </w:r>
          </w:p>
        </w:tc>
        <w:tc>
          <w:tcPr>
            <w:tcW w:type="dxa" w:w="64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vAlign w:val="center"/>
          </w:tcPr>
          <w:p>
            <w:r>
              <w:rPr>
                <w:rFonts w:ascii="Arial" w:cs="Arial" w:eastAsia="Arial" w:hAnsi="Arial"/>
                <w:color w:val="374151"/>
                <w:sz w:val="20"/>
                <w:szCs w:val="20"/>
              </w:rPr>
              <w:t xml:space="preserve">Narrow band signaling a tipping point. Multiple components under pressure. Leasing and ops leadership should review action plans.</w:t>
            </w:r>
          </w:p>
        </w:tc>
      </w:tr>
      <w:tr>
        <w:tc>
          <w:tcPr>
            <w:tcW w:type="dxa" w:w="32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pPr>
              <w:jc w:val="center"/>
            </w:pPr>
            <w:r>
              <w:rPr>
                <w:rFonts w:ascii="Arial" w:cs="Arial" w:eastAsia="Arial" w:hAnsi="Arial"/>
                <w:sz w:val="22"/>
                <w:szCs w:val="22"/>
              </w:rPr>
              <w:t xml:space="preserve">🔴</w:t>
            </w:r>
          </w:p>
        </w:tc>
        <w:tc>
          <w:tcPr>
            <w:tcW w:type="dxa" w:w="144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Arial" w:cs="Arial" w:eastAsia="Arial" w:hAnsi="Arial"/>
                <w:b/>
                <w:bCs/>
                <w:color w:val="DC2626"/>
                <w:sz w:val="20"/>
                <w:szCs w:val="20"/>
              </w:rPr>
              <w:t xml:space="preserve">Critical</w:t>
            </w:r>
          </w:p>
        </w:tc>
        <w:tc>
          <w:tcPr>
            <w:tcW w:type="dxa" w:w="12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Courier New" w:cs="Courier New" w:eastAsia="Courier New" w:hAnsi="Courier New"/>
                <w:color w:val="374151"/>
                <w:sz w:val="20"/>
                <w:szCs w:val="20"/>
              </w:rPr>
              <w:t xml:space="preserve">&lt; 60</w:t>
            </w:r>
          </w:p>
        </w:tc>
        <w:tc>
          <w:tcPr>
            <w:tcW w:type="dxa" w:w="6400"/>
            <w:tcBorders>
              <w:top w:val="single" w:color="E5E7EB" w:sz="1"/>
              <w:left w:val="single" w:color="E5E7EB" w:sz="1"/>
              <w:bottom w:val="single" w:color="E5E7EB" w:sz="1"/>
              <w:right w:val="single" w:color="E5E7EB" w:sz="1"/>
            </w:tcBorders>
            <w:shd w:fill="FEF2F2" w:val="clear"/>
            <w:tcMar>
              <w:top w:type="dxa" w:w="100"/>
              <w:left w:type="dxa" w:w="140"/>
              <w:bottom w:type="dxa" w:w="100"/>
              <w:right w:type="dxa" w:w="140"/>
            </w:tcMar>
            <w:vAlign w:val="center"/>
          </w:tcPr>
          <w:p>
            <w:r>
              <w:rPr>
                <w:rFonts w:ascii="Arial" w:cs="Arial" w:eastAsia="Arial" w:hAnsi="Arial"/>
                <w:color w:val="374151"/>
                <w:sz w:val="20"/>
                <w:szCs w:val="20"/>
              </w:rPr>
              <w:t xml:space="preserve">Significant operational breakdown. High vacancy, slow absorption, or SLA failure. Requires immediate escalation and intervention.</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3.1 Tier Measure Variants</w:t>
      </w:r>
    </w:p>
    <w:p>
      <w:pPr>
        <w:spacing w:after="100" w:before="60"/>
      </w:pPr>
      <w:r>
        <w:rPr>
          <w:rFonts w:ascii="Arial" w:cs="Arial" w:eastAsia="Arial" w:hAnsi="Arial"/>
          <w:color w:val="374151"/>
          <w:sz w:val="22"/>
          <w:szCs w:val="22"/>
        </w:rPr>
        <w:t xml:space="preserve">Multiple tier measures exist to serve different visual contexts. The canonical thresholds (85/65/60) are the standard across all current visuals. The Ops Index Tier measure uses a refined threshold set (86.3/79.3/60/49.2) derived from the actual score distribution — these should be treated as the more precise version for new visuals.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Measure</w:t>
            </w:r>
          </w:p>
        </w:tc>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Output Format</w:t>
            </w:r>
          </w:p>
        </w:tc>
        <w:tc>
          <w:tcPr>
            <w:tcW w:type="dxa" w:w="43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Ops Index Score (Tier &amp; Icons)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2563EB"/>
                <w:sz w:val="18"/>
                <w:szCs w:val="18"/>
              </w:rPr>
              <w:t xml:space="preserve">72 ✅</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KPI cards, tables — compact score + status at a glance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Ops Index Score (Tier)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2563EB"/>
                <w:sz w:val="18"/>
                <w:szCs w:val="18"/>
              </w:rPr>
              <w:t xml:space="preserve">72 · Optimizing</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Tooltips, detail panels where full label adds context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Ops Index Tier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2563EB"/>
                <w:sz w:val="18"/>
                <w:szCs w:val="18"/>
              </w:rPr>
              <w:t xml:space="preserve">⚠️ Good</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Standalone tier label without numeric score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CF Ops Index Tier</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2563EB"/>
                <w:sz w:val="18"/>
                <w:szCs w:val="18"/>
              </w:rPr>
              <w:t xml:space="preserve">#22c55e (hex)</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Conditional formatting on visuals — color only, no text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Operation Index Tier Color</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2563EB"/>
                <w:sz w:val="18"/>
                <w:szCs w:val="18"/>
              </w:rPr>
              <w:t xml:space="preserve">#22c55e (hex)</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Badge background fill for card visuals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RiskLayer Label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2563EB"/>
                <w:sz w:val="18"/>
                <w:szCs w:val="18"/>
              </w:rPr>
              <w:t xml:space="preserve">Optimized</w:t>
            </w:r>
          </w:p>
        </w:tc>
        <w:tc>
          <w:tcPr>
            <w:tcW w:type="dxa" w:w="4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19"/>
                <w:szCs w:val="19"/>
              </w:rPr>
              <w:t xml:space="preserve">Risk matrix row/column labeling</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4. Measures Catalog</w:t>
      </w:r>
    </w:p>
    <w:p>
      <w:pPr>
        <w:spacing w:after="100" w:before="60"/>
      </w:pPr>
      <w:r>
        <w:rPr>
          <w:rFonts w:ascii="Arial" w:cs="Arial" w:eastAsia="Arial" w:hAnsi="Arial"/>
          <w:color w:val="374151"/>
          <w:sz w:val="22"/>
          <w:szCs w:val="22"/>
        </w:rPr>
        <w:t xml:space="preserve">The Operations Index folder (04 - Ops Index) contains all measures organized across four sub-folders. The table below documents every measure, its folder assignment, and its purpose. All measures listed as 'Ready' are production-validated.</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Measure Name</w:t>
            </w:r>
          </w:p>
        </w:tc>
        <w:tc>
          <w:tcPr>
            <w:tcW w:type="dxa" w:w="58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4.1 — Components</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Occupancy Actual</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Raw occupancy rate pass-through for matrix display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Vacancy Actual</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Raw vacancy rate pass-through for matrix display</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Absorption Actual</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Raw absorption days pass-through for matrix display</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Coverage Actual</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Raw coverage ratio pass-through for matrix display</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Strongest Component</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Name of the highest-scoring component at current filter context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Strongest 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Unweighted score (0–100) of the strongest component</w:t>
            </w:r>
          </w:p>
        </w:tc>
      </w:tr>
      <w:tr>
        <w:tc>
          <w:tcPr>
            <w:tcW w:type="dxa" w:w="350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Weakest Component</w:t>
            </w:r>
          </w:p>
        </w:tc>
        <w:tc>
          <w:tcPr>
            <w:tcW w:type="dxa" w:w="5860"/>
            <w:tcBorders>
              <w:top w:val="single" w:color="E5E7EB" w:sz="1"/>
              <w:left w:val="single" w:color="E5E7EB" w:sz="1"/>
              <w:bottom w:val="single" w:color="E5E7EB" w:sz="1"/>
              <w:right w:val="single" w:color="E5E7EB" w:sz="1"/>
            </w:tcBorders>
            <w:shd w:fill="EFF4FB" w:val="clear"/>
            <w:tcMar>
              <w:top w:type="dxa" w:w="100"/>
              <w:left w:type="dxa" w:w="140"/>
              <w:bottom w:type="dxa" w:w="100"/>
              <w:right w:type="dxa" w:w="140"/>
            </w:tcMar>
          </w:tcPr>
          <w:p>
            <w:r>
              <w:rPr>
                <w:rFonts w:ascii="Arial" w:cs="Arial" w:eastAsia="Arial" w:hAnsi="Arial"/>
                <w:color w:val="374151"/>
                <w:sz w:val="19"/>
                <w:szCs w:val="19"/>
              </w:rPr>
              <w:t xml:space="preserve">Name of the lowest-scoring component at current filter context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Weakest Score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Unweighted score (0–100) of the weakest component</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4.2 — KPI (Component Scores)</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Occupancy</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Component score 0–100. Range: 50%–95% occupancy rate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Vacancy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Component score 0–100. Range: 3%–20% vacancy rate (inverted)</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Absorption</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Component score 0–100. Range: 15–90 absorption days (inverted)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Coverage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Component score 0–100. Range: 0.45–0.95 coverage ratio</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Lease Velocity</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Component score 0–100. Range: 0.02–0.20 daily lease pace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Net Absorption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Component score 0–100. Range: −10% to +10% of total units</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SLA Compliance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Binary score: 100 if within SLA on both thresholds, else 0</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(Matrix)</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Matrix-friendly display of index score for grid visuals</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 Coverage (Matrix)</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Matrix-friendly display of coverage component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Average</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AVERAGEX across all properties — portfolio benchmark line</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Rank (Property)</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RANKX dense descending across all properties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Rank (Property) Display</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Formatted: '#N of 120'</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Rank (Market)</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RANKX dense descending across all markets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Rank (Market) Subheader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Sub-label for market rank card</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Rank (Region)</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RANKX dense descending across all regions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Properties At Risk (Region)</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Count of properties below 60 in current region context</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Vendor Strength Area</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Identifies ops area where vendor correlation is strongest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Vendor Weakness Area</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Identifies ops area where vendor correlation is weakest</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OPS_MON_OPS_INDEX - Purpose</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Tooltip: purpose narrative for the index card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OPS_MON_OPS_INDEX - Insight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Tooltip: dynamic insight string based on score tier</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OPS_MON_OPS_INDEX - HowToRead</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Tooltip: reading guide for end users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OPS_MON_OPS_INDEX - CalculationLogic</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Tooltip: calculation explanation for power users</w:t>
            </w:r>
          </w:p>
        </w:tc>
      </w:tr>
      <w:tr>
        <w:tc>
          <w:tcPr>
            <w:tcW w:type="dxa" w:w="35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Calculation Logic</w:t>
            </w:r>
          </w:p>
        </w:tc>
        <w:tc>
          <w:tcPr>
            <w:tcW w:type="dxa" w:w="586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r>
              <w:rPr>
                <w:rFonts w:ascii="Arial" w:cs="Arial" w:eastAsia="Arial" w:hAnsi="Arial"/>
                <w:color w:val="374151"/>
                <w:sz w:val="19"/>
                <w:szCs w:val="19"/>
              </w:rPr>
              <w:t xml:space="preserve">Alias of calculation logic tooltip</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How To Read</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Alias of how-to-read tooltip</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4.3.1 — Final Score</w:t>
            </w:r>
          </w:p>
        </w:tc>
      </w:tr>
      <w:tr>
        <w:tc>
          <w:tcPr>
            <w:tcW w:type="dxa" w:w="350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Operations Index Score</w:t>
            </w:r>
          </w:p>
        </w:tc>
        <w:tc>
          <w:tcPr>
            <w:tcW w:type="dxa" w:w="5860"/>
            <w:tcBorders>
              <w:top w:val="single" w:color="E5E7EB" w:sz="1"/>
              <w:left w:val="single" w:color="E5E7EB" w:sz="1"/>
              <w:bottom w:val="single" w:color="E5E7EB" w:sz="1"/>
              <w:right w:val="single" w:color="E5E7EB" w:sz="1"/>
            </w:tcBorders>
            <w:shd w:fill="FFF7ED" w:val="clear"/>
            <w:tcMar>
              <w:top w:type="dxa" w:w="100"/>
              <w:left w:type="dxa" w:w="140"/>
              <w:bottom w:type="dxa" w:w="100"/>
              <w:right w:type="dxa" w:w="140"/>
            </w:tcMar>
          </w:tcPr>
          <w:p>
            <w:r>
              <w:rPr>
                <w:rFonts w:ascii="Arial" w:cs="Arial" w:eastAsia="Arial" w:hAnsi="Arial"/>
                <w:color w:val="374151"/>
                <w:sz w:val="19"/>
                <w:szCs w:val="19"/>
              </w:rPr>
              <w:t xml:space="preserve">Master weighted composite: sum of 7 components × their weights. Output: 0–100.</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Score (Stars)</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Score prefixed with 1–5 star rating for compact display</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4.3.2 — Tiers &amp; Labels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Tier</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Icon + label. Thresholds: ≥86.3 Excellent, ≥79.3 Good, ≥60 Average, ≥49.2 Below Average, else Critical</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Score (Tier)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Score + tier label combined: e.g. '72 · Optimizing'</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Index Score (Tier &amp; Icons)</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Score + icon only: e.g. '72 ✅'</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CF Ops Index Tier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Returns hex color code for conditional formatting based on tier</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Performance Status</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Simplified 3-tier label (Excellent / Fine / Bad) — legacy draft</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Operations Risk Bucket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Table-driven risk bucket using Table Risk Layer reference table</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Risk Band</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Separate risk flag based on Not Ready Backlog Days + Vacant Units — not directly tied to index score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Ops Risk Bucket Sort</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Numeric sort key for risk bucket ordering in visuals</w:t>
            </w:r>
          </w:p>
        </w:tc>
      </w:tr>
      <w:tr>
        <w:tc>
          <w:tcPr>
            <w:tcW w:type="dxa" w:w="350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Show Property In Selected Risk Cell</w:t>
            </w:r>
          </w:p>
        </w:tc>
        <w:tc>
          <w:tcPr>
            <w:tcW w:type="dxa" w:w="5860"/>
            <w:tcBorders>
              <w:top w:val="single" w:color="E5E7EB" w:sz="1"/>
              <w:left w:val="single" w:color="E5E7EB" w:sz="1"/>
              <w:bottom w:val="single" w:color="E5E7EB" w:sz="1"/>
              <w:right w:val="single" w:color="E5E7EB" w:sz="1"/>
            </w:tcBorders>
            <w:shd w:fill="FEF9C3" w:val="clear"/>
            <w:tcMar>
              <w:top w:type="dxa" w:w="100"/>
              <w:left w:type="dxa" w:w="140"/>
              <w:bottom w:type="dxa" w:w="100"/>
              <w:right w:type="dxa" w:w="140"/>
            </w:tcMar>
          </w:tcPr>
          <w:p>
            <w:r>
              <w:rPr>
                <w:rFonts w:ascii="Arial" w:cs="Arial" w:eastAsia="Arial" w:hAnsi="Arial"/>
                <w:color w:val="374151"/>
                <w:sz w:val="19"/>
                <w:szCs w:val="19"/>
              </w:rPr>
              <w:t xml:space="preserve">Boolean filter: 1 if property matches selected risk cell in matrix</w:t>
            </w:r>
          </w:p>
        </w:tc>
      </w:tr>
      <w:tr>
        <w:tc>
          <w:tcPr>
            <w:tcW w:type="dxa" w:w="9360"/>
            <w:gridSpan w:val="2"/>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4.3.3 — Color &amp; Formatting</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Operation Index Tier Color</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Hex color for tier badge background</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RiskLayer Cell Color</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Hex color for risk matrix cell fill</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RiskLayer Label</w:t>
            </w:r>
          </w:p>
        </w:tc>
        <w:tc>
          <w:tcPr>
            <w:tcW w:type="dxa" w:w="5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374151"/>
                <w:sz w:val="19"/>
                <w:szCs w:val="19"/>
              </w:rPr>
              <w:t xml:space="preserve">Text label for risk matrix cell: Optimized / Optimizing / At Risk / Critical</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b/>
                <w:bCs/>
                <w:color w:val="1E2A3A"/>
                <w:sz w:val="18"/>
                <w:szCs w:val="18"/>
              </w:rPr>
              <w:t xml:space="preserve">RiskLayer Label 2</w:t>
            </w:r>
          </w:p>
        </w:tc>
        <w:tc>
          <w:tcPr>
            <w:tcW w:type="dxa" w:w="5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19"/>
                <w:szCs w:val="19"/>
              </w:rPr>
              <w:t xml:space="preserve">Variant label with 3-tier schema: Excellent / Operational / At Risk</w:t>
            </w:r>
          </w:p>
        </w:tc>
      </w:tr>
    </w:tbl>
    <w:p>
      <w:pPr>
        <w:spacing w:after="100" w:before="12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4.1 Quarantine Status</w:t>
      </w:r>
    </w:p>
    <w:p>
      <w:pPr>
        <w:spacing w:after="100" w:before="60"/>
      </w:pPr>
      <w:r>
        <w:rPr>
          <w:rFonts w:ascii="Arial" w:cs="Arial" w:eastAsia="Arial" w:hAnsi="Arial"/>
          <w:color w:val="374151"/>
          <w:sz w:val="22"/>
          <w:szCs w:val="22"/>
        </w:rPr>
        <w:t xml:space="preserve">Two display measures are currently in the 11 - Quarantine folder pending resolution. Both underlying rank measures are production-ready; only the formatted display wrappers are affected.</w:t>
      </w:r>
    </w:p>
    <w:p>
      <w:pPr>
        <w:pStyle w:val="ListParagraph"/>
        <w:numPr>
          <w:ilvl w:val="0"/>
          <w:numId w:val="2"/>
        </w:numPr>
        <w:spacing w:after="40" w:before="40"/>
      </w:pPr>
      <w:r>
        <w:rPr>
          <w:rFonts w:ascii="Arial" w:cs="Arial" w:eastAsia="Arial" w:hAnsi="Arial"/>
          <w:color w:val="374151"/>
          <w:sz w:val="22"/>
          <w:szCs w:val="22"/>
        </w:rPr>
        <w:t xml:space="preserve">Ops Index Rank (Market) Display — the raw rank measure Ops Index Rank (Market) is live and functional. The display wrapper requires re-validation before being restored to 04 - Ops Index\4.2 - KPI.</w:t>
      </w:r>
    </w:p>
    <w:p>
      <w:pPr>
        <w:pStyle w:val="ListParagraph"/>
        <w:numPr>
          <w:ilvl w:val="0"/>
          <w:numId w:val="2"/>
        </w:numPr>
        <w:spacing w:after="40" w:before="40"/>
      </w:pPr>
      <w:r>
        <w:rPr>
          <w:rFonts w:ascii="Arial" w:cs="Arial" w:eastAsia="Arial" w:hAnsi="Arial"/>
          <w:color w:val="374151"/>
          <w:sz w:val="22"/>
          <w:szCs w:val="22"/>
        </w:rPr>
        <w:t xml:space="preserve">Ops Index Rank (Region) Display — same situation as above for the region context.</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6"/>
              <w:bottom w:val="single" w:color="E5E7EB" w:sz="1"/>
              <w:right w:val="single" w:color="E5E7EB" w:sz="1"/>
            </w:tcBorders>
            <w:shd w:fill="FEF2F2" w:val="clear"/>
            <w:tcMar>
              <w:top w:type="dxa" w:w="120"/>
              <w:left w:type="dxa" w:w="160"/>
              <w:bottom w:type="dxa" w:w="120"/>
              <w:right w:type="dxa" w:w="160"/>
            </w:tcMar>
          </w:tcPr>
          <w:p>
            <w:pPr>
              <w:spacing w:after="40" w:before="0"/>
            </w:pPr>
            <w:r>
              <w:rPr>
                <w:rFonts w:ascii="Arial" w:cs="Arial" w:eastAsia="Arial" w:hAnsi="Arial"/>
                <w:b/>
                <w:bCs/>
                <w:color w:val="DC2626"/>
                <w:sz w:val="20"/>
                <w:szCs w:val="20"/>
              </w:rPr>
              <w:t xml:space="preserve">Note on Semantic Errors</w:t>
            </w:r>
          </w:p>
          <w:p>
            <w:pPr>
              <w:spacing w:after="0" w:before="0"/>
            </w:pPr>
            <w:r>
              <w:rPr>
                <w:rFonts w:ascii="Arial" w:cs="Arial" w:eastAsia="Arial" w:hAnsi="Arial"/>
                <w:color w:val="374151"/>
                <w:sz w:val="20"/>
                <w:szCs w:val="20"/>
              </w:rPr>
              <w:t xml:space="preserve">Vendor Strength Area and Vendor Weakness Area are currently flagged with SemanticError status in the model. These measures attempt to correlate VPI component performance with operational component gaps. Their DAX references should be reviewed against the current VPI measure naming convention — the errors likely stem from a measure rename during the VPI restructure.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5. Diagnostic Measures — Strongest &amp; Weakest Component</w:t>
      </w:r>
    </w:p>
    <w:p>
      <w:pPr>
        <w:spacing w:after="100" w:before="60"/>
      </w:pPr>
      <w:r>
        <w:rPr>
          <w:rFonts w:ascii="Arial" w:cs="Arial" w:eastAsia="Arial" w:hAnsi="Arial"/>
          <w:color w:val="374151"/>
          <w:sz w:val="22"/>
          <w:szCs w:val="22"/>
        </w:rPr>
        <w:t xml:space="preserve">Two pairs of diagnostic measures give Power BI visuals the ability to surface the root cause of a score without requiring users to inspect all seven components manually.</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5.1 How They Work</w:t>
      </w:r>
    </w:p>
    <w:p>
      <w:pPr>
        <w:spacing w:after="100" w:before="60"/>
      </w:pPr>
      <w:r>
        <w:rPr>
          <w:rFonts w:ascii="Arial" w:cs="Arial" w:eastAsia="Arial" w:hAnsi="Arial"/>
          <w:color w:val="374151"/>
          <w:sz w:val="22"/>
          <w:szCs w:val="22"/>
        </w:rPr>
        <w:t xml:space="preserve">Each diagnostic measure loads all seven unweighted component scores into local variables, then uses nested MIN or MAX to identify the extreme value, and SWITCH to return the corresponding component name.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20" w:before="20"/>
            </w:pPr>
            <w:r>
              <w:rPr>
                <w:rFonts w:ascii="Courier New" w:cs="Courier New" w:eastAsia="Courier New" w:hAnsi="Courier New"/>
                <w:color w:val="1E3A5F"/>
                <w:sz w:val="18"/>
                <w:szCs w:val="18"/>
              </w:rPr>
              <w:t xml:space="preserve">Ops Index - Weakest Component =</w:t>
            </w:r>
          </w:p>
          <w:p>
            <w:pPr>
              <w:spacing w:after="20" w:before="20"/>
            </w:pPr>
            <w:r>
              <w:rPr>
                <w:rFonts w:ascii="Courier New" w:cs="Courier New" w:eastAsia="Courier New" w:hAnsi="Courier New"/>
                <w:color w:val="1E3A5F"/>
                <w:sz w:val="18"/>
                <w:szCs w:val="18"/>
              </w:rPr>
              <w:t xml:space="preserve">VAR Occ = [Ops Index - Occupancy]</w:t>
            </w:r>
          </w:p>
          <w:p>
            <w:pPr>
              <w:spacing w:after="20" w:before="20"/>
            </w:pPr>
            <w:r>
              <w:rPr>
                <w:rFonts w:ascii="Courier New" w:cs="Courier New" w:eastAsia="Courier New" w:hAnsi="Courier New"/>
                <w:color w:val="1E3A5F"/>
                <w:sz w:val="18"/>
                <w:szCs w:val="18"/>
              </w:rPr>
              <w:t xml:space="preserve">VAR Vac = [Ops Index - Vacancy]</w:t>
            </w:r>
          </w:p>
          <w:p>
            <w:pPr>
              <w:spacing w:after="20" w:before="20"/>
            </w:pPr>
            <w:r>
              <w:rPr>
                <w:rFonts w:ascii="Courier New" w:cs="Courier New" w:eastAsia="Courier New" w:hAnsi="Courier New"/>
                <w:color w:val="1E3A5F"/>
                <w:sz w:val="18"/>
                <w:szCs w:val="18"/>
              </w:rPr>
              <w:t xml:space="preserve">VAR Abs = [Ops Index - Absorption]</w:t>
            </w:r>
          </w:p>
          <w:p>
            <w:pPr>
              <w:spacing w:after="20" w:before="20"/>
            </w:pPr>
            <w:r>
              <w:rPr>
                <w:rFonts w:ascii="Courier New" w:cs="Courier New" w:eastAsia="Courier New" w:hAnsi="Courier New"/>
                <w:color w:val="1E3A5F"/>
                <w:sz w:val="18"/>
                <w:szCs w:val="18"/>
              </w:rPr>
              <w:t xml:space="preserve">VAR Cov = [Ops Index - Coverage]</w:t>
            </w:r>
          </w:p>
          <w:p>
            <w:pPr>
              <w:spacing w:after="20" w:before="20"/>
            </w:pPr>
            <w:r>
              <w:rPr>
                <w:rFonts w:ascii="Courier New" w:cs="Courier New" w:eastAsia="Courier New" w:hAnsi="Courier New"/>
                <w:color w:val="1E3A5F"/>
                <w:sz w:val="18"/>
                <w:szCs w:val="18"/>
              </w:rPr>
              <w:t xml:space="preserve">VAR Vel = [Ops Index - Lease Velocity]</w:t>
            </w:r>
          </w:p>
          <w:p>
            <w:pPr>
              <w:spacing w:after="20" w:before="20"/>
            </w:pPr>
            <w:r>
              <w:rPr>
                <w:rFonts w:ascii="Courier New" w:cs="Courier New" w:eastAsia="Courier New" w:hAnsi="Courier New"/>
                <w:color w:val="1E3A5F"/>
                <w:sz w:val="18"/>
                <w:szCs w:val="18"/>
              </w:rPr>
              <w:t xml:space="preserve">VAR Net = [Ops Index - Net Absorption]</w:t>
            </w:r>
          </w:p>
          <w:p>
            <w:pPr>
              <w:spacing w:after="20" w:before="20"/>
            </w:pPr>
            <w:r>
              <w:rPr>
                <w:rFonts w:ascii="Courier New" w:cs="Courier New" w:eastAsia="Courier New" w:hAnsi="Courier New"/>
                <w:color w:val="1E3A5F"/>
                <w:sz w:val="18"/>
                <w:szCs w:val="18"/>
              </w:rPr>
              <w:t xml:space="preserve">VAR SLA = [Ops Index - SLA Compliance]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VAR MinScore = MIN(Occ, MIN(Vac, MIN(Abs, MIN(Cov, MIN(Vel, MIN(Net, SLA))))))</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RETURN</w:t>
            </w:r>
          </w:p>
          <w:p>
            <w:pPr>
              <w:spacing w:after="20" w:before="20"/>
            </w:pPr>
            <w:r>
              <w:rPr>
                <w:rFonts w:ascii="Courier New" w:cs="Courier New" w:eastAsia="Courier New" w:hAnsi="Courier New"/>
                <w:color w:val="1E3A5F"/>
                <w:sz w:val="18"/>
                <w:szCs w:val="18"/>
              </w:rPr>
              <w:t xml:space="preserve">SWITCH(</w:t>
            </w:r>
          </w:p>
          <w:p>
            <w:pPr>
              <w:spacing w:after="20" w:before="20"/>
            </w:pPr>
            <w:r>
              <w:rPr>
                <w:rFonts w:ascii="Courier New" w:cs="Courier New" w:eastAsia="Courier New" w:hAnsi="Courier New"/>
                <w:color w:val="1E3A5F"/>
                <w:sz w:val="18"/>
                <w:szCs w:val="18"/>
              </w:rPr>
              <w:t xml:space="preserve">    TRUE(),</w:t>
            </w:r>
          </w:p>
          <w:p>
            <w:pPr>
              <w:spacing w:after="20" w:before="20"/>
            </w:pPr>
            <w:r>
              <w:rPr>
                <w:rFonts w:ascii="Courier New" w:cs="Courier New" w:eastAsia="Courier New" w:hAnsi="Courier New"/>
                <w:color w:val="1E3A5F"/>
                <w:sz w:val="18"/>
                <w:szCs w:val="18"/>
              </w:rPr>
              <w:t xml:space="preserve">    MinScore = Occ, "Occupancy Rate",</w:t>
            </w:r>
          </w:p>
          <w:p>
            <w:pPr>
              <w:spacing w:after="20" w:before="20"/>
            </w:pPr>
            <w:r>
              <w:rPr>
                <w:rFonts w:ascii="Courier New" w:cs="Courier New" w:eastAsia="Courier New" w:hAnsi="Courier New"/>
                <w:color w:val="1E3A5F"/>
                <w:sz w:val="18"/>
                <w:szCs w:val="18"/>
              </w:rPr>
              <w:t xml:space="preserve">    MinScore = Vac, "Vacancy Management",</w:t>
            </w:r>
          </w:p>
          <w:p>
            <w:pPr>
              <w:spacing w:after="20" w:before="20"/>
            </w:pPr>
            <w:r>
              <w:rPr>
                <w:rFonts w:ascii="Courier New" w:cs="Courier New" w:eastAsia="Courier New" w:hAnsi="Courier New"/>
                <w:color w:val="1E3A5F"/>
                <w:sz w:val="18"/>
                <w:szCs w:val="18"/>
              </w:rPr>
              <w:t xml:space="preserve">    MinScore = Abs, "Absorption Speed",</w:t>
            </w:r>
          </w:p>
          <w:p>
            <w:pPr>
              <w:spacing w:after="20" w:before="20"/>
            </w:pPr>
            <w:r>
              <w:rPr>
                <w:rFonts w:ascii="Courier New" w:cs="Courier New" w:eastAsia="Courier New" w:hAnsi="Courier New"/>
                <w:color w:val="1E3A5F"/>
                <w:sz w:val="18"/>
                <w:szCs w:val="18"/>
              </w:rPr>
              <w:t xml:space="preserve">    MinScore = Cov, "Coverage Ratio",</w:t>
            </w:r>
          </w:p>
          <w:p>
            <w:pPr>
              <w:spacing w:after="20" w:before="20"/>
            </w:pPr>
            <w:r>
              <w:rPr>
                <w:rFonts w:ascii="Courier New" w:cs="Courier New" w:eastAsia="Courier New" w:hAnsi="Courier New"/>
                <w:color w:val="1E3A5F"/>
                <w:sz w:val="18"/>
                <w:szCs w:val="18"/>
              </w:rPr>
              <w:t xml:space="preserve">    MinScore = Vel, "Lease Velocity",</w:t>
            </w:r>
          </w:p>
          <w:p>
            <w:pPr>
              <w:spacing w:after="20" w:before="20"/>
            </w:pPr>
            <w:r>
              <w:rPr>
                <w:rFonts w:ascii="Courier New" w:cs="Courier New" w:eastAsia="Courier New" w:hAnsi="Courier New"/>
                <w:color w:val="1E3A5F"/>
                <w:sz w:val="18"/>
                <w:szCs w:val="18"/>
              </w:rPr>
              <w:t xml:space="preserve">    MinScore = Net, "Net Absorption",</w:t>
            </w:r>
          </w:p>
          <w:p>
            <w:pPr>
              <w:spacing w:after="20" w:before="20"/>
            </w:pPr>
            <w:r>
              <w:rPr>
                <w:rFonts w:ascii="Courier New" w:cs="Courier New" w:eastAsia="Courier New" w:hAnsi="Courier New"/>
                <w:color w:val="1E3A5F"/>
                <w:sz w:val="18"/>
                <w:szCs w:val="18"/>
              </w:rPr>
              <w:t xml:space="preserve">    MinScore = SLA, "SLA Compliance",</w:t>
            </w:r>
          </w:p>
          <w:p>
            <w:pPr>
              <w:spacing w:after="20" w:before="20"/>
            </w:pPr>
            <w:r>
              <w:rPr>
                <w:rFonts w:ascii="Courier New" w:cs="Courier New" w:eastAsia="Courier New" w:hAnsi="Courier New"/>
                <w:color w:val="1E3A5F"/>
                <w:sz w:val="18"/>
                <w:szCs w:val="18"/>
              </w:rPr>
              <w:t xml:space="preserve">    BLANK()</w:t>
            </w:r>
          </w:p>
          <w:p>
            <w:pPr>
              <w:spacing w:after="20" w:before="20"/>
            </w:pPr>
            <w:r>
              <w:rPr>
                <w:rFonts w:ascii="Courier New" w:cs="Courier New" w:eastAsia="Courier New" w:hAnsi="Courier New"/>
                <w:color w:val="1E3A5F"/>
                <w:sz w:val="18"/>
                <w:szCs w:val="18"/>
              </w:rPr>
              <w:t xml:space="preserve">)</w:t>
            </w:r>
          </w:p>
        </w:tc>
      </w:tr>
    </w:tbl>
    <w:p>
      <w:pPr>
        <w:spacing w:after="100" w:before="100"/>
      </w:pPr>
      <w:r>
        <w:t xml:space="preserve"/>
      </w:r>
    </w:p>
    <w:p>
      <w:pPr>
        <w:spacing w:after="100" w:before="60"/>
      </w:pPr>
      <w:r>
        <w:rPr>
          <w:rFonts w:ascii="Arial" w:cs="Arial" w:eastAsia="Arial" w:hAnsi="Arial"/>
          <w:color w:val="374151"/>
          <w:sz w:val="22"/>
          <w:szCs w:val="22"/>
        </w:rPr>
        <w:t xml:space="preserve">The Strongest Component pair uses the same pattern with MAX instead of MIN.</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5.2 Diagnostic Use in Visuals</w:t>
      </w:r>
    </w:p>
    <w:p>
      <w:pPr>
        <w:spacing w:after="100" w:before="60"/>
      </w:pPr>
      <w:r>
        <w:rPr>
          <w:rFonts w:ascii="Arial" w:cs="Arial" w:eastAsia="Arial" w:hAnsi="Arial"/>
          <w:color w:val="374151"/>
          <w:sz w:val="22"/>
          <w:szCs w:val="22"/>
        </w:rPr>
        <w:t xml:space="preserve">These four measures are designed to power the KPI insight cards on the Operations detail page. A typical card pattern:</w:t>
      </w:r>
    </w:p>
    <w:p>
      <w:pPr>
        <w:pStyle w:val="ListParagraph"/>
        <w:numPr>
          <w:ilvl w:val="0"/>
          <w:numId w:val="2"/>
        </w:numPr>
        <w:spacing w:after="40" w:before="40"/>
      </w:pPr>
      <w:r>
        <w:rPr>
          <w:rFonts w:ascii="Arial" w:cs="Arial" w:eastAsia="Arial" w:hAnsi="Arial"/>
          <w:color w:val="374151"/>
          <w:sz w:val="22"/>
          <w:szCs w:val="22"/>
        </w:rPr>
        <w:t xml:space="preserve">Score headline: Operations Index Score formatted with Ops Index Score (Tier &amp; Icons)</w:t>
      </w:r>
    </w:p>
    <w:p>
      <w:pPr>
        <w:pStyle w:val="ListParagraph"/>
        <w:numPr>
          <w:ilvl w:val="0"/>
          <w:numId w:val="2"/>
        </w:numPr>
        <w:spacing w:after="40" w:before="40"/>
      </w:pPr>
      <w:r>
        <w:rPr>
          <w:rFonts w:ascii="Arial" w:cs="Arial" w:eastAsia="Arial" w:hAnsi="Arial"/>
          <w:color w:val="374151"/>
          <w:sz w:val="22"/>
          <w:szCs w:val="22"/>
        </w:rPr>
        <w:t xml:space="preserve">Insight line: 'Strongest: [Ops Index - Strongest Component] at [Ops Index - Strongest Score]'</w:t>
      </w:r>
    </w:p>
    <w:p>
      <w:pPr>
        <w:pStyle w:val="ListParagraph"/>
        <w:numPr>
          <w:ilvl w:val="0"/>
          <w:numId w:val="2"/>
        </w:numPr>
        <w:spacing w:after="40" w:before="40"/>
      </w:pPr>
      <w:r>
        <w:rPr>
          <w:rFonts w:ascii="Arial" w:cs="Arial" w:eastAsia="Arial" w:hAnsi="Arial"/>
          <w:color w:val="374151"/>
          <w:sz w:val="22"/>
          <w:szCs w:val="22"/>
        </w:rPr>
        <w:t xml:space="preserve">Risk line: 'Watch: [Ops Index - Weakest Component] at [Ops Index - Weakest Score]'</w:t>
      </w:r>
    </w:p>
    <w:p>
      <w:pPr>
        <w:spacing w:after="100" w:before="60"/>
      </w:pPr>
      <w:r>
        <w:rPr>
          <w:rFonts w:ascii="Arial" w:cs="Arial" w:eastAsia="Arial" w:hAnsi="Arial"/>
          <w:color w:val="374151"/>
          <w:sz w:val="22"/>
          <w:szCs w:val="22"/>
        </w:rPr>
        <w:t xml:space="preserve">This surfaces a full diagnostic narrative from a single property selection without any tooltip or drill-through required.</w:t>
      </w:r>
    </w:p>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6. Risk Matrix &amp; Segmentation</w:t>
      </w:r>
    </w:p>
    <w:p>
      <w:pPr>
        <w:spacing w:after="100" w:before="60"/>
      </w:pPr>
      <w:r>
        <w:rPr>
          <w:rFonts w:ascii="Arial" w:cs="Arial" w:eastAsia="Arial" w:hAnsi="Arial"/>
          <w:color w:val="374151"/>
          <w:sz w:val="22"/>
          <w:szCs w:val="22"/>
        </w:rPr>
        <w:t xml:space="preserve">Beyond the linear tier system, the Operations Index feeds a risk matrix segmentation that allows portfolio-level risk visualization at a glance.</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6.1 RiskLayer Architecture</w:t>
      </w:r>
    </w:p>
    <w:p>
      <w:pPr>
        <w:spacing w:after="100" w:before="60"/>
      </w:pPr>
      <w:r>
        <w:rPr>
          <w:rFonts w:ascii="Arial" w:cs="Arial" w:eastAsia="Arial" w:hAnsi="Arial"/>
          <w:color w:val="374151"/>
          <w:sz w:val="22"/>
          <w:szCs w:val="22"/>
        </w:rPr>
        <w:t xml:space="preserve">The Operations Risk Bucket measure reads from a reference table (Table Risk Layer) that maps score ranges to named risk buckets. This table-driven approach allows threshold adjustments without DAX edits — changing the risk bucket boundaries only requires updating the reference table.</w:t>
      </w:r>
    </w:p>
    <w:p>
      <w:pPr>
        <w:spacing w:after="100" w:before="60"/>
      </w:pPr>
      <w:r>
        <w:rPr>
          <w:rFonts w:ascii="Arial" w:cs="Arial" w:eastAsia="Arial" w:hAnsi="Arial"/>
          <w:color w:val="374151"/>
          <w:sz w:val="22"/>
          <w:szCs w:val="22"/>
        </w:rPr>
        <w:t xml:space="preserve">The RiskLayer measures provide three outputs for each property in a given risk band: the cell color fill, the text label, and a boolean filter that determines which properties appear when a risk cell is selected in the matrix visual.</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6.2 Ops Risk Band — Separate Signal</w:t>
      </w:r>
    </w:p>
    <w:p>
      <w:pPr>
        <w:spacing w:after="100" w:before="60"/>
      </w:pPr>
      <w:r>
        <w:rPr>
          <w:rFonts w:ascii="Arial" w:cs="Arial" w:eastAsia="Arial" w:hAnsi="Arial"/>
          <w:color w:val="374151"/>
          <w:sz w:val="22"/>
          <w:szCs w:val="22"/>
        </w:rPr>
        <w:t xml:space="preserve">Ops Risk Band is a distinct measure from the index tiers. It does not read from Operations Index Score. Instead it evaluates two specific operational conditions:</w:t>
      </w:r>
    </w:p>
    <w:p>
      <w:pPr>
        <w:pStyle w:val="ListParagraph"/>
        <w:numPr>
          <w:ilvl w:val="0"/>
          <w:numId w:val="2"/>
        </w:numPr>
        <w:spacing w:after="40" w:before="40"/>
      </w:pPr>
      <w:r>
        <w:rPr>
          <w:rFonts w:ascii="Arial" w:cs="Arial" w:eastAsia="Arial" w:hAnsi="Arial"/>
          <w:color w:val="374151"/>
          <w:sz w:val="22"/>
          <w:szCs w:val="22"/>
        </w:rPr>
        <w:t xml:space="preserve">Not Ready Backlog Days (Est) — how many days of not-ready units are sitting in the pipeline</w:t>
      </w:r>
    </w:p>
    <w:p>
      <w:pPr>
        <w:pStyle w:val="ListParagraph"/>
        <w:numPr>
          <w:ilvl w:val="0"/>
          <w:numId w:val="2"/>
        </w:numPr>
        <w:spacing w:after="40" w:before="40"/>
      </w:pPr>
      <w:r>
        <w:rPr>
          <w:rFonts w:ascii="Arial" w:cs="Arial" w:eastAsia="Arial" w:hAnsi="Arial"/>
          <w:color w:val="374151"/>
          <w:sz w:val="22"/>
          <w:szCs w:val="22"/>
        </w:rPr>
        <w:t xml:space="preserve">Vacant Units (As Of) — the current count of vacant units</w:t>
      </w:r>
    </w:p>
    <w:p>
      <w:pPr>
        <w:spacing w:after="100" w:before="60"/>
      </w:pPr>
      <w:r>
        <w:rPr>
          <w:rFonts w:ascii="Arial" w:cs="Arial" w:eastAsia="Arial" w:hAnsi="Arial"/>
          <w:color w:val="374151"/>
          <w:sz w:val="22"/>
          <w:szCs w:val="22"/>
        </w:rPr>
        <w:t xml:space="preserve">A property with a backlog exceeding 20 days AND more than 30 vacant units is flagged as High Risk. A backlog exceeding 14 days alone flags a Watch status. This catch-all targets a specific failure mode — the property has units sitting unready — that the composite index may partially mask when other components are strong.</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E5E7EB" w:sz="1"/>
              <w:right w:val="single" w:color="E5E7EB" w:sz="1"/>
            </w:tcBorders>
            <w:shd w:fill="EFF4FB" w:val="clear"/>
            <w:tcMar>
              <w:top w:type="dxa" w:w="120"/>
              <w:left w:type="dxa" w:w="160"/>
              <w:bottom w:type="dxa" w:w="120"/>
              <w:right w:type="dxa" w:w="160"/>
            </w:tcMar>
          </w:tcPr>
          <w:p>
            <w:pPr>
              <w:spacing w:after="40" w:before="0"/>
            </w:pPr>
            <w:r>
              <w:rPr>
                <w:rFonts w:ascii="Arial" w:cs="Arial" w:eastAsia="Arial" w:hAnsi="Arial"/>
                <w:b/>
                <w:bCs/>
                <w:color w:val="2563EB"/>
                <w:sz w:val="20"/>
                <w:szCs w:val="20"/>
              </w:rPr>
              <w:t xml:space="preserve">Why Both?</w:t>
            </w:r>
          </w:p>
          <w:p>
            <w:pPr>
              <w:spacing w:after="0" w:before="0"/>
            </w:pPr>
            <w:r>
              <w:rPr>
                <w:rFonts w:ascii="Arial" w:cs="Arial" w:eastAsia="Arial" w:hAnsi="Arial"/>
                <w:color w:val="374151"/>
                <w:sz w:val="20"/>
                <w:szCs w:val="20"/>
              </w:rPr>
              <w:t xml:space="preserve">The composite index reflects overall operational health. The Ops Risk Band catches a specific acute condition: units that are physically unready and piling up. A property could score 68 (Optimizing) on the index while simultaneously having a 25-day backlog of unready units — the index would not flag this as critical, but Ops Risk Band would. Using both measures gives the full picture.</w:t>
            </w:r>
          </w:p>
        </w:tc>
      </w:tr>
    </w:tbl>
    <w:p>
      <w:pPr>
        <w:spacing w:after="100" w:before="200"/>
      </w:pPr>
      <w:r>
        <w:t xml:space="preserve"/>
      </w:r>
    </w:p>
    <w:p>
      <w:r>
        <w:br w:type="page"/>
      </w:r>
    </w:p>
    <w:p>
      <w:pPr>
        <w:pStyle w:val="Heading1"/>
        <w:spacing w:after="160" w:before="320"/>
      </w:pPr>
      <w:r>
        <w:rPr>
          <w:rFonts w:ascii="Arial" w:cs="Arial" w:eastAsia="Arial" w:hAnsi="Arial"/>
          <w:b/>
          <w:bCs/>
          <w:color w:val="1E2A3A"/>
          <w:sz w:val="32"/>
          <w:szCs w:val="32"/>
        </w:rPr>
        <w:t xml:space="preserve">7. Data Dependencies</w:t>
      </w:r>
    </w:p>
    <w:p>
      <w:pPr>
        <w:spacing w:after="100" w:before="60"/>
      </w:pPr>
      <w:r>
        <w:rPr>
          <w:rFonts w:ascii="Arial" w:cs="Arial" w:eastAsia="Arial" w:hAnsi="Arial"/>
          <w:color w:val="374151"/>
          <w:sz w:val="22"/>
          <w:szCs w:val="22"/>
        </w:rPr>
        <w:t xml:space="preserve">The Operations Index draws exclusively from two fact tables and their associated dimension tables. No marketing data is required.</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00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Table / Measure</w:t>
            </w:r>
          </w:p>
        </w:tc>
        <w:tc>
          <w:tcPr>
            <w:tcW w:type="dxa" w:w="4560"/>
            <w:tcBorders>
              <w:top w:val="single" w:color="2563EB" w:sz="1"/>
              <w:left w:val="single" w:color="2563EB" w:sz="1"/>
              <w:bottom w:val="single" w:color="2563EB" w:sz="1"/>
              <w:right w:val="single" w:color="2563EB" w:sz="1"/>
            </w:tcBorders>
            <w:shd w:fill="1E2A3A" w:val="clear"/>
            <w:tcMar>
              <w:top w:type="dxa" w:w="100"/>
              <w:left w:type="dxa" w:w="140"/>
              <w:bottom w:type="dxa" w:w="100"/>
              <w:right w:type="dxa" w:w="140"/>
            </w:tcMar>
          </w:tcPr>
          <w:p>
            <w:r>
              <w:rPr>
                <w:rFonts w:ascii="Arial" w:cs="Arial" w:eastAsia="Arial" w:hAnsi="Arial"/>
                <w:b/>
                <w:bCs/>
                <w:color w:val="FFFFFF"/>
                <w:sz w:val="20"/>
                <w:szCs w:val="20"/>
              </w:rPr>
              <w:t xml:space="preserve">Feeds Component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fact_property_ops_daily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8"/>
                <w:szCs w:val="18"/>
              </w:rPr>
              <w:t xml:space="preserve">OccupiedUnits, TotalUnits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Occupancy, Vacancy, Net Absorption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fact_property_ops_daily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374151"/>
                <w:sz w:val="18"/>
                <w:szCs w:val="18"/>
              </w:rPr>
              <w:t xml:space="preserve">ScheduledMoveIns_Next60D, LeaseExpirations_Next60D</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Coverage Ratio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fact_property_ops_daily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8"/>
                <w:szCs w:val="18"/>
              </w:rPr>
              <w:t xml:space="preserve">VacantUnits, MoveIns, MoveOuts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Absorption Days (Est), Net Absorption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fact_leasing_daily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374151"/>
                <w:sz w:val="18"/>
                <w:szCs w:val="18"/>
              </w:rPr>
              <w:t xml:space="preserve">NewLeases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Lease Velocity, SLA Compliance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1E2A3A"/>
                <w:sz w:val="18"/>
                <w:szCs w:val="18"/>
              </w:rPr>
              <w:t xml:space="preserve">dim_property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Courier New" w:cs="Courier New" w:eastAsia="Courier New" w:hAnsi="Courier New"/>
                <w:color w:val="374151"/>
                <w:sz w:val="18"/>
                <w:szCs w:val="18"/>
              </w:rPr>
              <w:t xml:space="preserve">TotalUnits</w:t>
            </w:r>
          </w:p>
        </w:tc>
        <w:tc>
          <w:tcPr>
            <w:tcW w:type="dxa" w:w="4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Normalization denominator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1E2A3A"/>
                <w:sz w:val="18"/>
                <w:szCs w:val="18"/>
              </w:rPr>
              <w:t xml:space="preserve">dim_date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Courier New" w:cs="Courier New" w:eastAsia="Courier New" w:hAnsi="Courier New"/>
                <w:color w:val="374151"/>
                <w:sz w:val="18"/>
                <w:szCs w:val="18"/>
              </w:rPr>
              <w:t xml:space="preserve">Date filters</w:t>
            </w:r>
          </w:p>
        </w:tc>
        <w:tc>
          <w:tcPr>
            <w:tcW w:type="dxa" w:w="4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All time-gated measures</w:t>
            </w:r>
          </w:p>
        </w:tc>
      </w:tr>
    </w:tbl>
    <w:p>
      <w:pPr>
        <w:spacing w:after="100" w:before="200"/>
      </w:pPr>
      <w:r>
        <w:t xml:space="preserve"/>
      </w:r>
    </w:p>
    <w:p>
      <w:pPr>
        <w:pStyle w:val="Heading1"/>
        <w:spacing w:after="160" w:before="320"/>
      </w:pPr>
      <w:r>
        <w:rPr>
          <w:rFonts w:ascii="Arial" w:cs="Arial" w:eastAsia="Arial" w:hAnsi="Arial"/>
          <w:b/>
          <w:bCs/>
          <w:color w:val="1E2A3A"/>
          <w:sz w:val="32"/>
          <w:szCs w:val="32"/>
        </w:rPr>
        <w:t xml:space="preserve">8. Version Notes</w:t>
      </w:r>
    </w:p>
    <w:p>
      <w:pPr>
        <w:pStyle w:val="Heading2"/>
        <w:pBdr>
          <w:bottom w:val="single" w:color="2563EB" w:sz="4" w:space="4"/>
        </w:pBdr>
        <w:spacing w:after="120" w:before="280"/>
      </w:pPr>
      <w:r>
        <w:rPr>
          <w:rFonts w:ascii="Arial" w:cs="Arial" w:eastAsia="Arial" w:hAnsi="Arial"/>
          <w:b/>
          <w:bCs/>
          <w:color w:val="1E2A3A"/>
          <w:sz w:val="26"/>
          <w:szCs w:val="26"/>
        </w:rPr>
        <w:t xml:space="preserve">v7 — Coverage Component Update</w:t>
      </w:r>
    </w:p>
    <w:p>
      <w:pPr>
        <w:spacing w:after="100" w:before="60"/>
      </w:pPr>
      <w:r>
        <w:rPr>
          <w:rFonts w:ascii="Arial" w:cs="Arial" w:eastAsia="Arial" w:hAnsi="Arial"/>
          <w:color w:val="374151"/>
          <w:sz w:val="22"/>
          <w:szCs w:val="22"/>
        </w:rPr>
        <w:t xml:space="preserve">The Coverage component ceiling was updated from 1.20 to 0.95 to match the realistic data distribution produced by the v7 generator. The original 1.20 ceiling was set under v6 assumptions where coverage ratios rarely exceeded 1.0. With v7 data, properties achieving Star/Good tier regularly produce ratios above 1.0, meaning the old ceiling was truncating their component scores prematurely. The update restored the full 0–100 scoring range for those properties and improved the expected portfolio average score by approximately 8–12 points.</w:t>
      </w:r>
    </w:p>
    <w:p>
      <w:pPr>
        <w:spacing w:after="100" w:before="80"/>
      </w:pPr>
      <w:r>
        <w:t xml:space="preserve"/>
      </w:r>
    </w:p>
    <w:p>
      <w:pPr>
        <w:pStyle w:val="Heading2"/>
        <w:pBdr>
          <w:bottom w:val="single" w:color="2563EB" w:sz="4" w:space="4"/>
        </w:pBdr>
        <w:spacing w:after="120" w:before="280"/>
      </w:pPr>
      <w:r>
        <w:rPr>
          <w:rFonts w:ascii="Arial" w:cs="Arial" w:eastAsia="Arial" w:hAnsi="Arial"/>
          <w:b/>
          <w:bCs/>
          <w:color w:val="1E2A3A"/>
          <w:sz w:val="26"/>
          <w:szCs w:val="26"/>
        </w:rPr>
        <w:t xml:space="preserve">Measures Retired or Consolidated</w:t>
      </w:r>
    </w:p>
    <w:p>
      <w:pPr>
        <w:pStyle w:val="ListParagraph"/>
        <w:numPr>
          <w:ilvl w:val="0"/>
          <w:numId w:val="2"/>
        </w:numPr>
        <w:spacing w:after="40" w:before="40"/>
      </w:pPr>
      <w:r>
        <w:rPr>
          <w:rFonts w:ascii="Arial" w:cs="Arial" w:eastAsia="Arial" w:hAnsi="Arial"/>
          <w:color w:val="374151"/>
          <w:sz w:val="22"/>
          <w:szCs w:val="22"/>
        </w:rPr>
        <w:t xml:space="preserve">Absorption Score Component, Occupancy Score Component, Vacancy Score Component — matrix display duplicates using pre-v7 formulas. Replaced by the canonical Ops Index - * component measures.</w:t>
      </w:r>
    </w:p>
    <w:p>
      <w:pPr>
        <w:pStyle w:val="ListParagraph"/>
        <w:numPr>
          <w:ilvl w:val="0"/>
          <w:numId w:val="2"/>
        </w:numPr>
        <w:spacing w:after="40" w:before="40"/>
      </w:pPr>
      <w:r>
        <w:rPr>
          <w:rFonts w:ascii="Arial" w:cs="Arial" w:eastAsia="Arial" w:hAnsi="Arial"/>
          <w:color w:val="374151"/>
          <w:sz w:val="22"/>
          <w:szCs w:val="22"/>
        </w:rPr>
        <w:t xml:space="preserve">Coverage Score Component — used the pre-v7 ceiling of 1.20. Replaced by Ops Index - Coverage.</w:t>
      </w:r>
    </w:p>
    <w:p>
      <w:pPr>
        <w:pStyle w:val="ListParagraph"/>
        <w:numPr>
          <w:ilvl w:val="0"/>
          <w:numId w:val="2"/>
        </w:numPr>
        <w:spacing w:after="40" w:before="40"/>
      </w:pPr>
      <w:r>
        <w:rPr>
          <w:rFonts w:ascii="Arial" w:cs="Arial" w:eastAsia="Arial" w:hAnsi="Arial"/>
          <w:color w:val="374151"/>
          <w:sz w:val="22"/>
          <w:szCs w:val="22"/>
        </w:rPr>
        <w:t xml:space="preserve">Index Actual — non-standard variant with weights (20/25/30/25) that diverged from the canonical model. Evaluated and retired.</w:t>
      </w:r>
    </w:p>
    <w:p>
      <w:pPr>
        <w:pStyle w:val="ListParagraph"/>
        <w:numPr>
          <w:ilvl w:val="0"/>
          <w:numId w:val="2"/>
        </w:numPr>
        <w:spacing w:after="40" w:before="40"/>
      </w:pPr>
      <w:r>
        <w:rPr>
          <w:rFonts w:ascii="Arial" w:cs="Arial" w:eastAsia="Arial" w:hAnsi="Arial"/>
          <w:color w:val="374151"/>
          <w:sz w:val="22"/>
          <w:szCs w:val="22"/>
        </w:rPr>
        <w:t xml:space="preserve">Performance Status — three-tier draft label with placeholder terms. Retained for historical reference only; do not use in new visuals.</w:t>
      </w:r>
    </w:p>
    <w:p>
      <w:pPr>
        <w:spacing w:after="100" w:before="24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spacing w:after="0" w:before="80"/>
    </w:pPr>
    <w:r>
      <w:rPr>
        <w:rFonts w:ascii="Arial" w:cs="Arial" w:eastAsia="Arial" w:hAnsi="Arial"/>
        <w:color w:val="9CA3AF"/>
        <w:sz w:val="16"/>
        <w:szCs w:val="16"/>
      </w:rPr>
      <w:t xml:space="preserve">Confidential — Internal Use Only</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spacing w:after="80" w:before="0"/>
    </w:pPr>
    <w:r>
      <w:rPr>
        <w:rFonts w:ascii="Arial" w:cs="Arial" w:eastAsia="Arial" w:hAnsi="Arial"/>
        <w:color w:val="9CA3AF"/>
        <w:sz w:val="18"/>
        <w:szCs w:val="18"/>
      </w:rPr>
      <w:t xml:space="preserve">NorthStar Residential  |  Operations Index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A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A3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2026-04-13T13:23:36.835Z</dcterms:created>
  <dcterms:modified xsi:type="dcterms:W3CDTF">2026-04-13T13:23:36.839Z</dcterms:modified>
</cp:coreProperties>
</file>

<file path=docProps/custom.xml><?xml version="1.0" encoding="utf-8"?>
<Properties xmlns="http://schemas.openxmlformats.org/officeDocument/2006/custom-properties" xmlns:vt="http://schemas.openxmlformats.org/officeDocument/2006/docPropsVTypes"/>
</file>