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38.jpg" ContentType="image/jpeg"/>
  <Override PartName="/word/media/rId49.jpg" ContentType="image/jpeg"/>
  <Override PartName="/word/media/rId60.jpg" ContentType="image/jpeg"/>
  <Override PartName="/word/media/rId71.jpg" ContentType="image/jpeg"/>
  <Override PartName="/word/media/rId80.jpg" ContentType="image/jpeg"/>
  <Override PartName="/word/media/rId8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NorthStar</w:t>
      </w:r>
      <w:r>
        <w:t xml:space="preserve"> </w:t>
      </w:r>
      <w:r>
        <w:t xml:space="preserve">Marketing</w:t>
      </w:r>
      <w:r>
        <w:t xml:space="preserve"> </w:t>
      </w:r>
      <w:r>
        <w:t xml:space="preserve">Analytics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Release</w:t>
      </w:r>
      <w:r>
        <w:t xml:space="preserve"> </w:t>
      </w:r>
      <w:r>
        <w:t xml:space="preserve">Notes</w:t>
      </w:r>
      <w:r>
        <w:t xml:space="preserve"> </w:t>
      </w:r>
      <w:r>
        <w:t xml:space="preserve">—</w:t>
      </w:r>
      <w:r>
        <w:t xml:space="preserve"> </w:t>
      </w:r>
      <w:r>
        <w:t xml:space="preserve">v1.0</w:t>
      </w:r>
    </w:p>
    <w:p>
      <w:pPr>
        <w:pStyle w:val="Author"/>
      </w:pPr>
      <w:r>
        <w:t xml:space="preserve">NorthStar</w:t>
      </w:r>
      <w:r>
        <w:t xml:space="preserve"> </w:t>
      </w:r>
      <w:r>
        <w:t xml:space="preserve">Residential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out-these-notes"/>
    <w:p>
      <w:pPr>
        <w:pStyle w:val="Heading1"/>
      </w:pPr>
      <w:r>
        <w:t xml:space="preserve">About These Notes</w:t>
      </w:r>
    </w:p>
    <w:p>
      <w:pPr>
        <w:pStyle w:val="FirstParagraph"/>
      </w:pPr>
      <w:r>
        <w:t xml:space="preserve">This document describes every visual that ships in</w:t>
      </w:r>
      <w:r>
        <w:t xml:space="preserve"> </w:t>
      </w:r>
      <w:r>
        <w:rPr>
          <w:bCs/>
          <w:b/>
        </w:rPr>
        <w:t xml:space="preserve">v1.0</w:t>
      </w:r>
      <w:r>
        <w:t xml:space="preserve"> </w:t>
      </w:r>
      <w:r>
        <w:t xml:space="preserve">of the NorthStar Marketing Analytics Dashboard. It is written for end users who need to read the dashboard correctly — what each visual is for, how it’s calculated, what it means, and where it can mislead.</w:t>
      </w:r>
    </w:p>
    <w:p>
      <w:pPr>
        <w:pStyle w:val="BodyText"/>
      </w:pPr>
      <w:r>
        <w:t xml:space="preserve">Each visual entry follows the same structure: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 </w:t>
      </w:r>
      <w:r>
        <w:t xml:space="preserve">— what question it answers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Inputs</w:t>
      </w:r>
      <w:r>
        <w:t xml:space="preserve"> </w:t>
      </w:r>
      <w:r>
        <w:t xml:space="preserve">— fact tables and dimensions involved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DAX / Measure</w:t>
      </w:r>
      <w:r>
        <w:t xml:space="preserve"> </w:t>
      </w:r>
      <w:r>
        <w:t xml:space="preserve">— the measure(s) behind it (named, with formula or pattern)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read it</w:t>
      </w:r>
      <w:r>
        <w:t xml:space="preserve"> </w:t>
      </w:r>
      <w:r>
        <w:t xml:space="preserve">— what to look for first, second, third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 cases</w:t>
      </w:r>
      <w:r>
        <w:t xml:space="preserve"> </w:t>
      </w:r>
      <w:r>
        <w:t xml:space="preserve">— when the number can mislead and how to spot it</w:t>
      </w:r>
    </w:p>
    <w:p>
      <w:pPr>
        <w:pStyle w:val="FirstParagraph"/>
      </w:pPr>
      <w:r>
        <w:t xml:space="preserve">Numbers shown in screenshots are illustrative, taken from the v1.0 demo data covering April 2025 – April 2026 across 120 properties, 11 vendors, and 12 markets.</w:t>
      </w:r>
    </w:p>
    <w:p>
      <w:r>
        <w:pict>
          <v:rect style="width:0;height:1.5pt" o:hralign="center" o:hrstd="t" o:hr="t"/>
        </w:pict>
      </w:r>
    </w:p>
    <w:bookmarkEnd w:id="20"/>
    <w:bookmarkStart w:id="25" w:name="whats-in-v1.0"/>
    <w:p>
      <w:pPr>
        <w:pStyle w:val="Heading1"/>
      </w:pPr>
      <w:r>
        <w:t xml:space="preserve">What’s in v1.0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Executives,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Leadership, Regional Mgrs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Vendor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Regional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Property/Asset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Funnel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Managers, Marketing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Marketing, Property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foundation:</w:t>
      </w:r>
      <w:r>
        <w:t xml:space="preserve"> </w:t>
      </w:r>
      <w:r>
        <w:t xml:space="preserve">Star schema with 4 dimensions (</w:t>
      </w:r>
      <w:r>
        <w:rPr>
          <w:rStyle w:val="VerbatimChar"/>
        </w:rPr>
        <w:t xml:space="preserve">dim_property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dim_market</w:t>
      </w:r>
      <w:r>
        <w:t xml:space="preserve">/</w:t>
      </w:r>
      <w:r>
        <w:rPr>
          <w:rStyle w:val="VerbatimChar"/>
        </w:rPr>
        <w:t xml:space="preserve">dim_region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plus role-playing</w:t>
      </w:r>
      <w:r>
        <w:t xml:space="preserve"> </w:t>
      </w:r>
      <w:r>
        <w:rPr>
          <w:rStyle w:val="VerbatimChar"/>
        </w:rPr>
        <w:t xml:space="preserve">dim_lease_date</w:t>
      </w:r>
      <w:r>
        <w:t xml:space="preserve">) feeding 4 fact tables:</w:t>
      </w:r>
      <w:r>
        <w:t xml:space="preserve"> </w:t>
      </w:r>
      <w:r>
        <w:rPr>
          <w:rStyle w:val="VerbatimChar"/>
        </w:rPr>
        <w:t xml:space="preserve">fact_property_ops_daily</w:t>
      </w:r>
      <w:r>
        <w:t xml:space="preserve"> </w:t>
      </w:r>
      <w:r>
        <w:t xml:space="preserve">(99K rows),</w:t>
      </w:r>
      <w:r>
        <w:t xml:space="preserve"> </w:t>
      </w:r>
      <w:r>
        <w:rPr>
          <w:rStyle w:val="VerbatimChar"/>
        </w:rPr>
        <w:t xml:space="preserve">fact_leasing_daily</w:t>
      </w:r>
      <w:r>
        <w:t xml:space="preserve"> </w:t>
      </w:r>
      <w:r>
        <w:t xml:space="preserve">(99K rows),</w:t>
      </w:r>
      <w:r>
        <w:t xml:space="preserve"> </w:t>
      </w:r>
      <w:r>
        <w:rPr>
          <w:rStyle w:val="VerbatimChar"/>
        </w:rPr>
        <w:t xml:space="preserve">fact_marketing_spend_daily</w:t>
      </w:r>
      <w:r>
        <w:t xml:space="preserve"> </w:t>
      </w:r>
      <w:r>
        <w:t xml:space="preserve">(1.09M rows), and</w:t>
      </w:r>
      <w:r>
        <w:t xml:space="preserve"> </w:t>
      </w:r>
      <w:r>
        <w:rPr>
          <w:rStyle w:val="VerbatimChar"/>
        </w:rPr>
        <w:t xml:space="preserve">fact_prospect_journey</w:t>
      </w:r>
      <w:r>
        <w:t xml:space="preserve"> </w:t>
      </w:r>
      <w:r>
        <w:t xml:space="preserve">(multi-touch attribution).</w:t>
      </w:r>
    </w:p>
    <w:p>
      <w:pPr>
        <w:pStyle w:val="BodyText"/>
      </w:pPr>
      <w:r>
        <w:rPr>
          <w:bCs/>
          <w:b/>
        </w:rPr>
        <w:t xml:space="preserve">Three composite indices</w:t>
      </w:r>
      <w:r>
        <w:t xml:space="preserve"> </w:t>
      </w:r>
      <w:r>
        <w:t xml:space="preserve">drive every score in the dashboard. Read these first — every visual that shows a tier, badge, or ranked list is built on one of them.</w:t>
      </w:r>
    </w:p>
    <w:bookmarkStart w:id="21" w:name="vpi-vendor-performance-index"/>
    <w:p>
      <w:pPr>
        <w:pStyle w:val="Heading2"/>
      </w:pPr>
      <w:r>
        <w:t xml:space="preserve">VPI — Vendor Performance Index</w:t>
      </w:r>
    </w:p>
    <w:p>
      <w:pPr>
        <w:pStyle w:val="FirstParagraph"/>
      </w:pPr>
      <w:r>
        <w:t xml:space="preserve">Evaluates each marketing vendor across the full leasing funnel. Conversion-heavy weighting: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Impressions, CTR, CPC, Click-to-Visit (25%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Visits, CPV, Visit-to-Lead (33/34/33)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Leads, CPL, Lead-to-Lease (33/33/34)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Leases, CP-Lease, Imp-to-Lease, Sell Rate (25% each)</w:t>
            </w:r>
          </w:p>
        </w:tc>
      </w:tr>
    </w:tbl>
    <w:p>
      <w:pPr>
        <w:pStyle w:val="BodyText"/>
      </w:pPr>
      <w:r>
        <w:t xml:space="preserve">Every component is a</w:t>
      </w:r>
      <w:r>
        <w:t xml:space="preserve"> </w:t>
      </w:r>
      <w:r>
        <w:rPr>
          <w:bCs/>
          <w:b/>
        </w:rPr>
        <w:t xml:space="preserve">portfolio percentile</w:t>
      </w:r>
      <w:r>
        <w:t xml:space="preserve"> </w:t>
      </w:r>
      <w:r>
        <w:t xml:space="preserve">(0–100) — the vendor is ranked against all other vendors on that metric. Tier thresholds:</w:t>
      </w:r>
      <w:r>
        <w:t xml:space="preserve"> </w:t>
      </w:r>
      <w:r>
        <w:rPr>
          <w:bCs/>
          <w:b/>
        </w:rPr>
        <w:t xml:space="preserve">Elite ≥75, Strong 60–74, Moderate 48–59, Underperforming 35–47, Critical &lt;35.</w:t>
      </w:r>
    </w:p>
    <w:bookmarkEnd w:id="21"/>
    <w:bookmarkStart w:id="22" w:name="gpi-geographic-performance-index"/>
    <w:p>
      <w:pPr>
        <w:pStyle w:val="Heading2"/>
      </w:pPr>
      <w:r>
        <w:t xml:space="preserve">GPI — Geographic Performance Index</w:t>
      </w:r>
    </w:p>
    <w:p>
      <w:pPr>
        <w:pStyle w:val="FirstParagraph"/>
      </w:pPr>
      <w:r>
        <w:t xml:space="preserve">Two-pillar score for property/market/region marketing health: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Pillar 1 — Absolute (60%)</w:t>
      </w:r>
      <w:r>
        <w:t xml:space="preserve">: portfolio percentile across CPL, Cost-per-Lease, Sell Rate, Vacancy Fill %, Vacant Ready %, SLA Compliance 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Pillar 2 — Trend (40%)</w:t>
      </w:r>
      <w:r>
        <w:t xml:space="preserve">: period-over-period scaled deltas, capped at ±15%, on New Leases, Cost-per-Lease, Cost-per-Lead, Net Absorption, and Lease Velocity</w:t>
      </w:r>
    </w:p>
    <w:p>
      <w:pPr>
        <w:pStyle w:val="FirstParagraph"/>
      </w:pPr>
      <w:r>
        <w:t xml:space="preserve">Tiers:</w:t>
      </w:r>
      <w:r>
        <w:t xml:space="preserve"> </w:t>
      </w:r>
      <w:r>
        <w:rPr>
          <w:bCs/>
          <w:b/>
        </w:rPr>
        <w:t xml:space="preserve">Excellent · High Performing · Below Average · At Risk · Critical.</w:t>
      </w:r>
      <w:r>
        <w:t xml:space="preserve"> </w:t>
      </w:r>
      <w:r>
        <w:t xml:space="preserve">Pillar Balance flag: Absolute-Led / Momentum-Led / Balanced (within 5 pts).</w:t>
      </w:r>
    </w:p>
    <w:bookmarkEnd w:id="22"/>
    <w:bookmarkStart w:id="23" w:name="ops-index-score"/>
    <w:p>
      <w:pPr>
        <w:pStyle w:val="Heading2"/>
      </w:pPr>
      <w:r>
        <w:t xml:space="preserve">Ops Index Score</w:t>
      </w:r>
    </w:p>
    <w:p>
      <w:pPr>
        <w:pStyle w:val="FirstParagraph"/>
      </w:pPr>
      <w:r>
        <w:t xml:space="preserve">Property-level operational health blending occupancy, leasing velocity, absorption, vacancy fill, and pipeline coverage (scheduled move-ins ÷ lease expirations next 60 days). Tiers:</w:t>
      </w:r>
      <w:r>
        <w:t xml:space="preserve"> </w:t>
      </w:r>
      <w:r>
        <w:rPr>
          <w:bCs/>
          <w:b/>
        </w:rPr>
        <w:t xml:space="preserve">Optimized · Optimizing · At Risk · Critical.</w:t>
      </w:r>
    </w:p>
    <w:bookmarkEnd w:id="23"/>
    <w:bookmarkStart w:id="24" w:name="the-30-day-minimum-window-rule"/>
    <w:p>
      <w:pPr>
        <w:pStyle w:val="Heading2"/>
      </w:pPr>
      <w:r>
        <w:t xml:space="preserve">The 30-Day Minimum Window Rule</w:t>
      </w:r>
    </w:p>
    <w:p>
      <w:pPr>
        <w:pStyle w:val="FirstParagraph"/>
      </w:pPr>
      <w:r>
        <w:rPr>
          <w:bCs/>
          <w:b/>
        </w:rPr>
        <w:t xml:space="preserve">This is the most important rule to internalize.</w:t>
      </w:r>
      <w:r>
        <w:t xml:space="preserve"> </w:t>
      </w:r>
      <w:r>
        <w:t xml:space="preserve">Every base measure that feeds a percentile or score enforces a 30-day minimum scoring window. If the filter context resolves to fewer than 30 days, the window automatically expands backward 30 days from the latest date in filter:</w:t>
      </w:r>
    </w:p>
    <w:p>
      <w:pPr>
        <w:pStyle w:val="SourceCode"/>
      </w:pPr>
      <w:r>
        <w:rPr>
          <w:rStyle w:val="VerbatimChar"/>
        </w:rPr>
        <w:t xml:space="preserve">_Base_&lt;Metric&gt; =</w:t>
      </w:r>
      <w:r>
        <w:br/>
      </w:r>
      <w:r>
        <w:rPr>
          <w:rStyle w:val="VerbatimChar"/>
        </w:rPr>
        <w:t xml:space="preserve">VAR DaysInFilter = [_DaysInFilter]</w:t>
      </w:r>
      <w:r>
        <w:br/>
      </w:r>
      <w:r>
        <w:rPr>
          <w:rStyle w:val="VerbatimChar"/>
        </w:rPr>
        <w:t xml:space="preserve">VAR MaxDate      = [_MaxDateInFilter]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IF(</w:t>
      </w:r>
      <w:r>
        <w:br/>
      </w:r>
      <w:r>
        <w:rPr>
          <w:rStyle w:val="VerbatimChar"/>
        </w:rPr>
        <w:t xml:space="preserve">    DaysInFilter &lt; 30,</w:t>
      </w:r>
      <w:r>
        <w:br/>
      </w:r>
      <w:r>
        <w:rPr>
          <w:rStyle w:val="VerbatimChar"/>
        </w:rPr>
        <w:t xml:space="preserve">    CALCULATE([Metric], DATESINPERIOD(dim_date[Date], MaxDate, -30, DAY)),</w:t>
      </w:r>
      <w:r>
        <w:br/>
      </w:r>
      <w:r>
        <w:rPr>
          <w:rStyle w:val="VerbatimChar"/>
        </w:rPr>
        <w:t xml:space="preserve">    [Metric]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percentile rankings on thin data (a single week, a single day) are statistically unreliable and produce wild rank swings. The 30-day floor keeps scores stable.</w:t>
      </w:r>
    </w:p>
    <w:p>
      <w:pPr>
        <w:pStyle w:val="BodyText"/>
      </w:pPr>
      <w:r>
        <w:rPr>
          <w:bCs/>
          <w:b/>
        </w:rPr>
        <w:t xml:space="preserve">Consequence to know:</w:t>
      </w:r>
      <w:r>
        <w:t xml:space="preserve"> </w:t>
      </w:r>
      <w:r>
        <w:t xml:space="preserve">if you select</w:t>
      </w:r>
      <w:r>
        <w:t xml:space="preserve"> </w:t>
      </w:r>
      <w:r>
        <w:t xml:space="preserve">“</w:t>
      </w:r>
      <w:r>
        <w:t xml:space="preserve">This Week</w:t>
      </w:r>
      <w:r>
        <w:t xml:space="preserve">”</w:t>
      </w:r>
      <w:r>
        <w:t xml:space="preserve"> </w:t>
      </w:r>
      <w:r>
        <w:t xml:space="preserve">in a date slicer, the percentile-based scores you see were calculated against the</w:t>
      </w:r>
      <w:r>
        <w:t xml:space="preserve"> </w:t>
      </w:r>
      <w:r>
        <w:rPr>
          <w:bCs/>
          <w:b/>
        </w:rPr>
        <w:t xml:space="preserve">last 30 days</w:t>
      </w:r>
      <w:r>
        <w:t xml:space="preserve">, not the week — but the volume KPIs (Spend, Leases, Impressions) reflect the week as selected. This is intentional but can surprise users who expect everything to follow the slicer.</w:t>
      </w:r>
    </w:p>
    <w:bookmarkEnd w:id="24"/>
    <w:bookmarkEnd w:id="25"/>
    <w:bookmarkStart w:id="37" w:name="page-1-executive-summary"/>
    <w:p>
      <w:pPr>
        <w:pStyle w:val="Heading1"/>
      </w:pPr>
      <w:r>
        <w:t xml:space="preserve">Page 1 — Executive Summary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een-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Top-of-house view for executives. Answers</w:t>
      </w:r>
      <w:r>
        <w:t xml:space="preserve"> </w:t>
      </w:r>
      <w:r>
        <w:t xml:space="preserve">“</w:t>
      </w:r>
      <w:r>
        <w:t xml:space="preserve">How is the portfolio performing this period, and where is the biggest signal?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Default period:</w:t>
      </w:r>
      <w:r>
        <w:t xml:space="preserve"> </w:t>
      </w:r>
      <w:r>
        <w:t xml:space="preserve">Last 12 Months. Period toggle along the top: This Month · Last Month · This Quarter · Last Quarter · This Year · Last Year · Last 12 Months.</w:t>
      </w:r>
    </w:p>
    <w:bookmarkStart w:id="29" w:name="portfolio-health-composite"/>
    <w:p>
      <w:pPr>
        <w:pStyle w:val="Heading2"/>
      </w:pPr>
      <w:r>
        <w:t xml:space="preserve">1.1 Portfolio Health Composite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0–100 score for the entire portfolio’s marketing + operations health, with a star rating and prior-period delta arrow.</w:t>
      </w:r>
    </w:p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t xml:space="preserve">Three pillar measures derived from</w:t>
      </w:r>
      <w:r>
        <w:t xml:space="preserve"> </w:t>
      </w:r>
      <w:r>
        <w:rPr>
          <w:rStyle w:val="VerbatimChar"/>
        </w:rPr>
        <w:t xml:space="preserve">fact_property_ops_daily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fact_leasing_daily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Portfolio_Health_Pillar1_Occupancy</w:t>
      </w:r>
      <w:r>
        <w:t xml:space="preserve"> </w:t>
      </w:r>
      <w:r>
        <w:t xml:space="preserve">— occupancy + vacancy + absorption components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Portfolio_Health_Pillar2_Leasing</w:t>
      </w:r>
      <w:r>
        <w:t xml:space="preserve"> </w:t>
      </w:r>
      <w:r>
        <w:t xml:space="preserve">— leasing efficiency (cost + velocity)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Portfolio_Health_Pillar3_Demand</w:t>
      </w:r>
      <w:r>
        <w:t xml:space="preserve"> </w:t>
      </w:r>
      <w:r>
        <w:t xml:space="preserve">— demand conversion (top-of-funnel → lease)</w:t>
      </w:r>
    </w:p>
    <w:p>
      <w:pPr>
        <w:pStyle w:val="FirstParagraph"/>
      </w:pPr>
      <w:r>
        <w:rPr>
          <w:bCs/>
          <w:b/>
        </w:rPr>
        <w:t xml:space="preserve">DAX:</w:t>
      </w:r>
      <w:r>
        <w:t xml:space="preserve"> </w:t>
      </w:r>
      <w:r>
        <w:rPr>
          <w:rStyle w:val="VerbatimChar"/>
        </w:rPr>
        <w:t xml:space="preserve">Portfolio_Pillar_Value</w:t>
      </w:r>
      <w:r>
        <w:t xml:space="preserve"> </w:t>
      </w:r>
      <w:r>
        <w:t xml:space="preserve">switches the displayed pillar by the slicer; the composite is the average of the three pillar scores. Bar color is driven by</w:t>
      </w:r>
      <w:r>
        <w:t xml:space="preserve"> </w:t>
      </w:r>
      <w:r>
        <w:rPr>
          <w:rStyle w:val="VerbatimChar"/>
        </w:rPr>
        <w:t xml:space="preserve">Portfolio_Pillar_Bar_Color</w:t>
      </w:r>
      <w:r>
        <w:t xml:space="preserve"> </w:t>
      </w:r>
      <w:r>
        <w:t xml:space="preserve">which thresholds at 85 / 70 / 55.</w:t>
      </w:r>
    </w:p>
    <w:p>
      <w:pPr>
        <w:pStyle w:val="BodyText"/>
      </w:pPr>
      <w:r>
        <w:rPr>
          <w:bCs/>
          <w:b/>
        </w:rPr>
        <w:t xml:space="preserve">How to read it:</w:t>
      </w:r>
    </w:p>
    <w:p>
      <w:pPr>
        <w:numPr>
          <w:ilvl w:val="0"/>
          <w:numId w:val="1004"/>
        </w:numPr>
        <w:pStyle w:val="Compact"/>
      </w:pPr>
      <w:r>
        <w:t xml:space="preserve">Headline number (80.7) is the composite. Star rating is a visual shortcut for the same number.</w:t>
      </w:r>
    </w:p>
    <w:p>
      <w:pPr>
        <w:numPr>
          <w:ilvl w:val="0"/>
          <w:numId w:val="1004"/>
        </w:numPr>
        <w:pStyle w:val="Compact"/>
      </w:pPr>
      <w:r>
        <w:t xml:space="preserve">Three rows below break the composite into its pillars.</w:t>
      </w:r>
      <w:r>
        <w:t xml:space="preserve"> </w:t>
      </w:r>
      <w:r>
        <w:rPr>
          <w:bCs/>
          <w:b/>
        </w:rPr>
        <w:t xml:space="preserve">The lowest pillar is the bottleneck</w:t>
      </w:r>
      <w:r>
        <w:t xml:space="preserve"> </w:t>
      </w:r>
      <w:r>
        <w:t xml:space="preserve">— in this screenshot, Demand Conversion at 63 is dragging Leasing Efficiency (91) and Occupancy Health (85) down.</w:t>
      </w:r>
    </w:p>
    <w:p>
      <w:pPr>
        <w:numPr>
          <w:ilvl w:val="0"/>
          <w:numId w:val="1004"/>
        </w:numPr>
        <w:pStyle w:val="Compact"/>
      </w:pPr>
      <w:r>
        <w:t xml:space="preserve">Green arrow + percentage is the change vs. the prior equal-length period.</w:t>
      </w:r>
    </w:p>
    <w:p>
      <w:pPr>
        <w:pStyle w:val="FirstParagraph"/>
      </w:pPr>
      <w:r>
        <w:rPr>
          <w:bCs/>
          <w:b/>
        </w:rPr>
        <w:t xml:space="preserve">Edge case:</w:t>
      </w:r>
      <w:r>
        <w:t xml:space="preserve"> </w:t>
      </w:r>
      <w:r>
        <w:t xml:space="preserve">Star rating thresholds (75 / 60 / 48 / 35) and tier thresholds in the rest of the dashboard are slightly different — don’t expect a 4-star rating to align perfectly with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tier elsewhere.</w:t>
      </w:r>
    </w:p>
    <w:bookmarkEnd w:id="29"/>
    <w:bookmarkStart w:id="30" w:name="region-portfolio-health"/>
    <w:p>
      <w:pPr>
        <w:pStyle w:val="Heading2"/>
      </w:pPr>
      <w:r>
        <w:t xml:space="preserve">1.2 Region Portfolio Health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Side-by-side region comparison of the same composite.</w:t>
      </w:r>
    </w:p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Portfolio_Pillar_Value</w:t>
      </w:r>
      <w:r>
        <w:t xml:space="preserve"> </w:t>
      </w:r>
      <w:r>
        <w:t xml:space="preserve">calculated per</w:t>
      </w:r>
      <w:r>
        <w:t xml:space="preserve"> </w:t>
      </w:r>
      <w:r>
        <w:rPr>
          <w:rStyle w:val="VerbatimChar"/>
        </w:rPr>
        <w:t xml:space="preserve">dim_region[RegionName]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Bars are sorted by score descending. The numerical badge at the right edge is the integer score. Color gradient is gold-on-dark — darker bars are weaker scores.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Only 4 regions exist (CE, EA, SO, WE). If a region’s data is incomplete (e.g., a market has no spend), the score will still calculate but on a smaller component count. Hover for the tooltip to confirm.</w:t>
      </w:r>
    </w:p>
    <w:bookmarkEnd w:id="30"/>
    <w:bookmarkStart w:id="31" w:name="kpi-card-cluster-top-right"/>
    <w:p>
      <w:pPr>
        <w:pStyle w:val="Heading2"/>
      </w:pPr>
      <w:r>
        <w:t xml:space="preserve">1.3 KPI Card Cluster (top-right)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Six volume + efficiency KPIs with prior-period arrows.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 Spend</w:t>
            </w:r>
            <w:r>
              <w:t xml:space="preserve"> </w:t>
            </w:r>
            <w:r>
              <w:t xml:space="preserve">(sum of</w:t>
            </w:r>
            <w:r>
              <w:t xml:space="preserve"> </w:t>
            </w:r>
            <w:r>
              <w:rPr>
                <w:rStyle w:val="VerbatimChar"/>
              </w:rPr>
              <w:t xml:space="preserve">fact_marketing_spend_daily.Spend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▼ = lower spend (could be good or bad — read with leases)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Leases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fact_leasing_daily.NewLeases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= more 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 per Lease (Actual)</w:t>
            </w:r>
            <w:r>
              <w:t xml:space="preserve"> </w:t>
            </w:r>
            <w:r>
              <w:t xml:space="preserve">= Spend ÷ New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▼ = cheaper per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Lead-to-Lease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Lead-to-Lease Conversion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= better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 Rate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Occupancy Rate %</w:t>
            </w:r>
            <w:r>
              <w:t xml:space="preserve"> </w:t>
            </w:r>
            <w:r>
              <w:t xml:space="preserve">(latest snapshot, not period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=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 Rate</w:t>
            </w:r>
            <w:r>
              <w:t xml:space="preserve"> </w:t>
            </w:r>
            <w:r>
              <w:t xml:space="preserve">= New Leases ÷ Available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= better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rPr>
          <w:bCs/>
          <w:b/>
        </w:rPr>
        <w:t xml:space="preserve">Always read Spend and New Leases together</w:t>
      </w:r>
      <w:r>
        <w:t xml:space="preserve"> </w:t>
      </w:r>
      <w:r>
        <w:t xml:space="preserve">— a falling spend with rising leases is great, but a falling spend with falling leases is just a slowdown.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Occupancy Rate is a</w:t>
      </w:r>
      <w:r>
        <w:t xml:space="preserve"> </w:t>
      </w:r>
      <w:r>
        <w:rPr>
          <w:iCs/>
          <w:i/>
        </w:rPr>
        <w:t xml:space="preserve">snapshot</w:t>
      </w:r>
      <w:r>
        <w:t xml:space="preserve"> </w:t>
      </w:r>
      <w:r>
        <w:t xml:space="preserve">metric (latest available date in filter), not a period average. The prior-period arrow compares snapshot-to-snapshot.</w:t>
      </w:r>
    </w:p>
    <w:bookmarkEnd w:id="31"/>
    <w:bookmarkStart w:id="32" w:name="vendor-spend-vs-outcome-quadrant"/>
    <w:p>
      <w:pPr>
        <w:pStyle w:val="Heading2"/>
      </w:pPr>
      <w:r>
        <w:t xml:space="preserve">1.4 Vendor Spend vs Outcome (Quadrant)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Identify which vendors/channels are scaling efficiently vs. overspending vs. under-invested.</w:t>
      </w:r>
    </w:p>
    <w:p>
      <w:pPr>
        <w:pStyle w:val="BodyText"/>
      </w:pPr>
      <w:r>
        <w:rPr>
          <w:bCs/>
          <w:b/>
        </w:rPr>
        <w:t xml:space="preserve">Inputs:</w:t>
      </w:r>
      <w:r>
        <w:t xml:space="preserve"> </w:t>
      </w:r>
      <w:r>
        <w:t xml:space="preserve">Scatter of</w:t>
      </w:r>
      <w:r>
        <w:t xml:space="preserve"> </w:t>
      </w:r>
      <w:r>
        <w:rPr>
          <w:rStyle w:val="VerbatimChar"/>
        </w:rPr>
        <w:t xml:space="preserve">Marketing Spend</w:t>
      </w:r>
      <w:r>
        <w:t xml:space="preserve"> </w:t>
      </w:r>
      <w:r>
        <w:t xml:space="preserve">(Y) vs</w:t>
      </w:r>
      <w:r>
        <w:t xml:space="preserve"> </w:t>
      </w:r>
      <w:r>
        <w:rPr>
          <w:rStyle w:val="VerbatimChar"/>
        </w:rPr>
        <w:t xml:space="preserve">New Leases (Funnel)</w:t>
      </w:r>
      <w:r>
        <w:t xml:space="preserve"> </w:t>
      </w:r>
      <w:r>
        <w:t xml:space="preserve">(X), sliced by Channel or Vendor (dropdown top-right).</w:t>
      </w:r>
    </w:p>
    <w:p>
      <w:pPr>
        <w:pStyle w:val="BodyText"/>
      </w:pPr>
      <w:r>
        <w:rPr>
          <w:bCs/>
          <w:b/>
        </w:rPr>
        <w:t xml:space="preserve">How to read it (quadrants):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Scale &amp; Invest</w:t>
      </w:r>
      <w:r>
        <w:t xml:space="preserve"> </w:t>
      </w:r>
      <w:r>
        <w:t xml:space="preserve">(top-right): high spend, high leases — keep funding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Efficient</w:t>
      </w:r>
      <w:r>
        <w:t xml:space="preserve"> </w:t>
      </w:r>
      <w:r>
        <w:t xml:space="preserve">(bottom-right): low spend, high leases — increase budget here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Overspending</w:t>
      </w:r>
      <w:r>
        <w:t xml:space="preserve"> </w:t>
      </w:r>
      <w:r>
        <w:t xml:space="preserve">(top-left): high spend, low leases — cut or fix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Under-Invested</w:t>
      </w:r>
      <w:r>
        <w:t xml:space="preserve"> </w:t>
      </w:r>
      <w:r>
        <w:t xml:space="preserve">(bottom-left): low spend, low leases — investigate before scaling</w:t>
      </w:r>
    </w:p>
    <w:p>
      <w:pPr>
        <w:pStyle w:val="FirstParagraph"/>
      </w:pPr>
      <w:r>
        <w:rPr>
          <w:bCs/>
          <w:b/>
        </w:rPr>
        <w:t xml:space="preserve">Quadrant cutoffs</w:t>
      </w:r>
      <w:r>
        <w:t xml:space="preserve"> </w:t>
      </w:r>
      <w:r>
        <w:t xml:space="preserve">are the median spend and median leases across the items in scope (not fixed thresholds), so the chart is</w:t>
      </w:r>
      <w:r>
        <w:t xml:space="preserve"> </w:t>
      </w:r>
      <w:r>
        <w:rPr>
          <w:bCs/>
          <w:b/>
        </w:rPr>
        <w:t xml:space="preserve">always relative to the current selection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With only 2–3 channels visible,</w:t>
      </w:r>
      <w:r>
        <w:t xml:space="preserve"> </w:t>
      </w:r>
      <w:r>
        <w:t xml:space="preserve">“</w:t>
      </w:r>
      <w:r>
        <w:t xml:space="preserve">median</w:t>
      </w:r>
      <w:r>
        <w:t xml:space="preserve">”</w:t>
      </w:r>
      <w:r>
        <w:t xml:space="preserve"> </w:t>
      </w:r>
      <w:r>
        <w:t xml:space="preserve">is defined by very few points and one mover can flip a quadrant. Switch to Vendor view for a denser plot before drawing conclusions.</w:t>
      </w:r>
    </w:p>
    <w:bookmarkEnd w:id="32"/>
    <w:bookmarkStart w:id="33" w:name="market-spend-vs-outcome-quadrant"/>
    <w:p>
      <w:pPr>
        <w:pStyle w:val="Heading2"/>
      </w:pPr>
      <w:r>
        <w:t xml:space="preserve">1.5 Market Spend vs Outcome (Quadrant)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Same logic as 1.4, but at the geographic level (Region or Market dropdown).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Identical four-quadrant logic. EA in the top-right means it has the highest spend AND highest leases — that’s the workhorse region. CE in the bottom-left means low spend AND low leases — investigate whether that’s deliberate (smaller portfolio) or a missed opportunity.</w:t>
      </w:r>
    </w:p>
    <w:bookmarkEnd w:id="33"/>
    <w:bookmarkStart w:id="34" w:name="region-performance-table"/>
    <w:p>
      <w:pPr>
        <w:pStyle w:val="Heading2"/>
      </w:pPr>
      <w:r>
        <w:t xml:space="preserve">1.6 Region Performance Table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Tabular view of the same six KPIs broken out by region.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Conditional formatting on CPL, L2L, Occupancy, Sell Rate columns — green = good, red = needs attention. Thresholds are portfolio percentile based (</w:t>
      </w:r>
      <w:r>
        <w:rPr>
          <w:rStyle w:val="VerbatimChar"/>
        </w:rPr>
        <w:t xml:space="preserve">CF_Region_*</w:t>
      </w:r>
      <w:r>
        <w:t xml:space="preserve"> </w:t>
      </w:r>
      <w:r>
        <w:t xml:space="preserve">measures).</w:t>
      </w:r>
    </w:p>
    <w:bookmarkEnd w:id="34"/>
    <w:bookmarkStart w:id="35" w:name="Xe7ced52b5f5fa92c5add14a16c690a0a0808263"/>
    <w:p>
      <w:pPr>
        <w:pStyle w:val="Heading2"/>
      </w:pPr>
      <w:r>
        <w:t xml:space="preserve">1.7 Cost Per Lease &amp; Lead to Lease Conversion (Channel Bars)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Two horizontal bar charts ranking channels.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Per Lease</w:t>
      </w:r>
      <w:r>
        <w:t xml:space="preserve"> </w:t>
      </w:r>
      <w:r>
        <w:t xml:space="preserve">— sorted ascending (cheapest first). ILS at $193 is the cheapest channel; Email at $800 is the most expensive on a per-lease basis.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Lead to Lease Conversion</w:t>
      </w:r>
      <w:r>
        <w:t xml:space="preserve"> </w:t>
      </w:r>
      <w:r>
        <w:t xml:space="preserve">— sorted descending (best conversion first). ILS at 13.1% converts best.</w:t>
      </w:r>
    </w:p>
    <w:p>
      <w:pPr>
        <w:pStyle w:val="FirstParagraph"/>
      </w:pPr>
      <w:r>
        <w:rPr>
          <w:bCs/>
          <w:b/>
        </w:rPr>
        <w:t xml:space="preserve">Edge case:</w:t>
      </w:r>
      <w:r>
        <w:t xml:space="preserve"> </w:t>
      </w:r>
      <w:r>
        <w:t xml:space="preserve">Email shows high CPL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low conversion — looks bad. But Email also has low total spend, so it’s not the biggest dollar problem. Always cross-reference with the Vendor quadrant in 1.4.</w:t>
      </w:r>
    </w:p>
    <w:bookmarkEnd w:id="35"/>
    <w:bookmarkStart w:id="36" w:name="signal-callout-cards-left-rail"/>
    <w:p>
      <w:pPr>
        <w:pStyle w:val="Heading2"/>
      </w:pPr>
      <w:r>
        <w:t xml:space="preserve">1.8 Signal Callout Cards (left rail)</w:t>
      </w:r>
    </w:p>
    <w:p>
      <w:pPr>
        <w:pStyle w:val="FirstParagraph"/>
      </w:pPr>
      <w:r>
        <w:t xml:space="preserve">Six narrative cards that name the top signal in each category. Driven by their own measures: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Most Improved Area</w:t>
      </w:r>
      <w:r>
        <w:t xml:space="preserve"> </w:t>
      </w:r>
      <w:r>
        <w:t xml:space="preserve">— highest period-over-period delta among GPI components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Weakest Pillar</w:t>
      </w:r>
      <w:r>
        <w:t xml:space="preserve"> </w:t>
      </w:r>
      <w:r>
        <w:t xml:space="preserve">— lowest of the three Portfolio Health pillars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Market Signal</w:t>
      </w:r>
      <w:r>
        <w:t xml:space="preserve"> </w:t>
      </w:r>
      <w:r>
        <w:t xml:space="preserve">— top + bottom GPI markets by name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Sharpest Decline Area</w:t>
      </w:r>
      <w:r>
        <w:t xml:space="preserve"> </w:t>
      </w:r>
      <w:r>
        <w:t xml:space="preserve">— largest negative delta vs prior period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Coverage Risk Signal</w:t>
      </w:r>
      <w:r>
        <w:t xml:space="preserve"> </w:t>
      </w:r>
      <w:r>
        <w:t xml:space="preserve">— coverage ratio (scheduled move-ins ÷ expirations next 60D); ≥1.0 is healthy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Velocity Outlook</w:t>
      </w:r>
      <w:r>
        <w:t xml:space="preserve"> </w:t>
      </w:r>
      <w:r>
        <w:t xml:space="preserve">— period-over-period change in lease velocity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These are the executive’s</w:t>
      </w:r>
      <w:r>
        <w:t xml:space="preserve"> </w:t>
      </w:r>
      <w:r>
        <w:t xml:space="preserve">“</w:t>
      </w:r>
      <w:r>
        <w:t xml:space="preserve">what to look at first</w:t>
      </w:r>
      <w:r>
        <w:t xml:space="preserve">”</w:t>
      </w:r>
      <w:r>
        <w:t xml:space="preserve"> </w:t>
      </w:r>
      <w:r>
        <w:t xml:space="preserve">cards. They’re text strings generated by DAX, so they’re always specific (e.g. </w:t>
      </w:r>
      <w:r>
        <w:t xml:space="preserve">“</w:t>
      </w:r>
      <w:r>
        <w:t xml:space="preserve">Pacific Coast 76.3</w:t>
      </w:r>
      <w:r>
        <w:t xml:space="preserve">”</w:t>
      </w:r>
      <w:r>
        <w:t xml:space="preserve">) — not generic.</w:t>
      </w:r>
    </w:p>
    <w:bookmarkEnd w:id="36"/>
    <w:bookmarkEnd w:id="37"/>
    <w:bookmarkStart w:id="48" w:name="page-2-operations-monitor"/>
    <w:p>
      <w:pPr>
        <w:pStyle w:val="Heading1"/>
      </w:pPr>
      <w:r>
        <w:t xml:space="preserve">Page 2 — Operations Monitor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een-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Property-health monitor for operations leadership. Answers</w:t>
      </w:r>
      <w:r>
        <w:t xml:space="preserve"> </w:t>
      </w:r>
      <w:r>
        <w:t xml:space="preserve">“</w:t>
      </w:r>
      <w:r>
        <w:t xml:space="preserve">Which properties are at risk, why, and how concentrated is the risk?</w:t>
      </w:r>
      <w:r>
        <w:t xml:space="preserve">”</w:t>
      </w:r>
    </w:p>
    <w:bookmarkStart w:id="41" w:name="ops-health-tile-header"/>
    <w:p>
      <w:pPr>
        <w:pStyle w:val="Heading2"/>
      </w:pPr>
      <w:r>
        <w:t xml:space="preserve">2.1 Ops Health Tile (header)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0–100 score for portfolio-wide ops health, color-coded badge.</w:t>
      </w:r>
    </w:p>
    <w:p>
      <w:pPr>
        <w:pStyle w:val="BodyText"/>
      </w:pPr>
      <w:r>
        <w:rPr>
          <w:bCs/>
          <w:b/>
        </w:rPr>
        <w:t xml:space="preserve">DAX:</w:t>
      </w:r>
      <w:r>
        <w:t xml:space="preserve"> </w:t>
      </w:r>
      <w:r>
        <w:t xml:space="preserve">Average of</w:t>
      </w:r>
      <w:r>
        <w:t xml:space="preserve"> </w:t>
      </w:r>
      <w:r>
        <w:rPr>
          <w:rStyle w:val="VerbatimChar"/>
        </w:rPr>
        <w:t xml:space="preserve">Operations Index Score</w:t>
      </w:r>
      <w:r>
        <w:t xml:space="preserve"> </w:t>
      </w:r>
      <w:r>
        <w:t xml:space="preserve">across all properties in scope. Green checkmark when ≥85; warning icon below.</w:t>
      </w:r>
    </w:p>
    <w:bookmarkEnd w:id="41"/>
    <w:bookmarkStart w:id="42" w:name="five-kpi-header-strip"/>
    <w:p>
      <w:pPr>
        <w:pStyle w:val="Heading2"/>
      </w:pPr>
      <w:r>
        <w:t xml:space="preserve">2.2 Five-KPI Header Strip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snapshot of</w:t>
            </w:r>
            <w:r>
              <w:t xml:space="preserve"> </w:t>
            </w:r>
            <w:r>
              <w:rPr>
                <w:rStyle w:val="VerbatimChar"/>
              </w:rPr>
              <w:t xml:space="preserve">Occupancy Rate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trending up; ≥90% is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 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Lease Velocity</w:t>
            </w:r>
            <w:r>
              <w:t xml:space="preserve"> </w:t>
            </w:r>
            <w:r>
              <w:t xml:space="preserve">— leases ÷ units in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trending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Vacant Unit Absorption Days 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▼ trending down (faster fill)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Vacancy 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Vacancy Fill %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trending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 Properties Within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 trending up</w:t>
            </w:r>
          </w:p>
        </w:tc>
      </w:tr>
    </w:tbl>
    <w:p>
      <w:pPr>
        <w:pStyle w:val="BodyText"/>
      </w:pPr>
      <w:r>
        <w:t xml:space="preserve">Each card shows a 3-month average for context and the prior-period arrow.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Absorption Days is an</w:t>
      </w:r>
      <w:r>
        <w:t xml:space="preserve"> </w:t>
      </w:r>
      <w:r>
        <w:rPr>
          <w:iCs/>
          <w:i/>
        </w:rPr>
        <w:t xml:space="preserve">estimate</w:t>
      </w:r>
      <w:r>
        <w:t xml:space="preserve"> </w:t>
      </w:r>
      <w:r>
        <w:t xml:space="preserve">derived from vacant ready units and recent move-in pace — not a direct measurement. Treat it as a directional indicator, not an absolute.</w:t>
      </w:r>
    </w:p>
    <w:bookmarkEnd w:id="42"/>
    <w:bookmarkStart w:id="43" w:name="Xbfb2dc1206bf3403e9865d44969eda5cbedc707"/>
    <w:p>
      <w:pPr>
        <w:pStyle w:val="Heading2"/>
      </w:pPr>
      <w:r>
        <w:t xml:space="preserve">2.3 Highest Risk / Slowest / Weakest Callouts (left rail)</w:t>
      </w:r>
    </w:p>
    <w:p>
      <w:pPr>
        <w:pStyle w:val="FirstParagraph"/>
      </w:pPr>
      <w:r>
        <w:t xml:space="preserve">Six narrative signal cards, each pointing to the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worst case in its category: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Highest Risk Area</w:t>
      </w:r>
      <w:r>
        <w:t xml:space="preserve"> </w:t>
      </w:r>
      <w:r>
        <w:t xml:space="preserve">— region with lowest GPI + count of Critical/At Risk properties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SLA Breach Concentration</w:t>
      </w:r>
      <w:r>
        <w:t xml:space="preserve"> </w:t>
      </w:r>
      <w:r>
        <w:t xml:space="preserve">— region with highest % of properties out of SLA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Slowest Absorption</w:t>
      </w:r>
      <w:r>
        <w:t xml:space="preserve"> </w:t>
      </w:r>
      <w:r>
        <w:t xml:space="preserve">— region with highest avg absorption days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Weakest Pipeline Coverage</w:t>
      </w:r>
      <w:r>
        <w:t xml:space="preserve"> </w:t>
      </w:r>
      <w:r>
        <w:t xml:space="preserve">— region with lowest scheduled move-ins ÷ expirations ratio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Move-Out Pressure</w:t>
      </w:r>
      <w:r>
        <w:t xml:space="preserve"> </w:t>
      </w:r>
      <w:r>
        <w:t xml:space="preserve">— same coverage ratio framed as a count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Lease Velocity Gap</w:t>
      </w:r>
      <w:r>
        <w:t xml:space="preserve"> </w:t>
      </w:r>
      <w:r>
        <w:t xml:space="preserve">— region underperforming its own 3-month average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These cards are deliberately repetitive across categories so you can spot a region appearing in multiple cards — that’s a concentration signal. In the screenshot,</w:t>
      </w:r>
      <w:r>
        <w:t xml:space="preserve"> </w:t>
      </w:r>
      <w:r>
        <w:t xml:space="preserve">“</w:t>
      </w:r>
      <w:r>
        <w:t xml:space="preserve">Central</w:t>
      </w:r>
      <w:r>
        <w:t xml:space="preserve">”</w:t>
      </w:r>
      <w:r>
        <w:t xml:space="preserve"> </w:t>
      </w:r>
      <w:r>
        <w:t xml:space="preserve">appears in 4 of 6 cards.</w:t>
      </w:r>
    </w:p>
    <w:bookmarkEnd w:id="43"/>
    <w:bookmarkStart w:id="44" w:name="X177d1da55ffc3b2b1f0f82480123cb220eefd26"/>
    <w:p>
      <w:pPr>
        <w:pStyle w:val="Heading2"/>
      </w:pPr>
      <w:r>
        <w:t xml:space="preserve">2.4 Leasing Pressure &amp; Portfolio Exposure (Scatter)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Vacant Ready % (X) vs Absorption Days (Y) per market — exposes properties simultaneously high on supply and slow on absorption.</w:t>
      </w:r>
    </w:p>
    <w:p>
      <w:pPr>
        <w:pStyle w:val="BodyText"/>
      </w:pPr>
      <w:r>
        <w:rPr>
          <w:bCs/>
          <w:b/>
        </w:rPr>
        <w:t xml:space="preserve">Quadrants: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Healthy</w:t>
      </w:r>
      <w:r>
        <w:t xml:space="preserve"> </w:t>
      </w:r>
      <w:r>
        <w:t xml:space="preserve">(bottom-left): low vacancy, fast absorption — best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Demand</w:t>
      </w:r>
      <w:r>
        <w:t xml:space="preserve"> </w:t>
      </w:r>
      <w:r>
        <w:t xml:space="preserve">(bottom-right): high vacancy, fast absorption — supply pressure but moving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Velocity Critical</w:t>
      </w:r>
      <w:r>
        <w:t xml:space="preserve"> </w:t>
      </w:r>
      <w:r>
        <w:t xml:space="preserve">(top-left): low vacancy, slow absorption — small problem but slow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Critical</w:t>
      </w:r>
      <w:r>
        <w:t xml:space="preserve"> </w:t>
      </w:r>
      <w:r>
        <w:t xml:space="preserve">(top-right): high vacancy, slow absorption — biggest problem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Bubble color reflects GPI tier. A red bubble in the top-right is the most urgent intervention.</w:t>
      </w:r>
    </w:p>
    <w:bookmarkEnd w:id="44"/>
    <w:bookmarkStart w:id="45" w:name="operational-risk-distribution-matrix"/>
    <w:p>
      <w:pPr>
        <w:pStyle w:val="Heading2"/>
      </w:pPr>
      <w:r>
        <w:t xml:space="preserve">2.5 Operational Risk Distribution Matrix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Per-region count of properties by risk tier (Critical, At Risk, Optimizing, Optimized).</w:t>
      </w:r>
    </w:p>
    <w:p>
      <w:pPr>
        <w:pStyle w:val="BodyText"/>
      </w:pPr>
      <w:r>
        <w:rPr>
          <w:bCs/>
          <w:b/>
        </w:rPr>
        <w:t xml:space="preserve">DAX:</w:t>
      </w:r>
      <w:r>
        <w:t xml:space="preserve"> </w:t>
      </w:r>
      <w:r>
        <w:rPr>
          <w:rStyle w:val="VerbatimChar"/>
        </w:rPr>
        <w:t xml:space="preserve">Property Count Matrix</w:t>
      </w:r>
      <w:r>
        <w:t xml:space="preserve"> </w:t>
      </w:r>
      <w:r>
        <w:t xml:space="preserve">— counts properties per region × per status, where status is derived from</w:t>
      </w:r>
      <w:r>
        <w:t xml:space="preserve"> </w:t>
      </w:r>
      <w:r>
        <w:rPr>
          <w:rStyle w:val="VerbatimChar"/>
        </w:rPr>
        <w:t xml:space="preserve">Operations Index Score</w:t>
      </w:r>
      <w:r>
        <w:t xml:space="preserve"> </w:t>
      </w:r>
      <w:r>
        <w:t xml:space="preserve">thresholds (≥85 Optimized, 65–84 Optimizing, etc.).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Read each row across — a region with most weight in</w:t>
      </w:r>
      <w:r>
        <w:t xml:space="preserve"> </w:t>
      </w:r>
      <w:r>
        <w:t xml:space="preserve">“</w:t>
      </w:r>
      <w:r>
        <w:t xml:space="preserve">Optimized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Optimizing</w:t>
      </w:r>
      <w:r>
        <w:t xml:space="preserve">”</w:t>
      </w:r>
      <w:r>
        <w:t xml:space="preserve"> </w:t>
      </w:r>
      <w:r>
        <w:t xml:space="preserve">is healthy. A region with weight in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needs intervention. The screenshot shows CE with 11 Critical properties (most concentrated risk).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Counts are absolute, not percentages. CE having 11 critical and EA having 2 critical doesn’t mean CE is 5× worse — it means CE has 5× more critical properties out of its 30 total. Use the Operational Region Heatmap (page 4) for a normalized view.</w:t>
      </w:r>
    </w:p>
    <w:bookmarkEnd w:id="45"/>
    <w:bookmarkStart w:id="46" w:name="region-status-percentage-heatmap"/>
    <w:p>
      <w:pPr>
        <w:pStyle w:val="Heading2"/>
      </w:pPr>
      <w:r>
        <w:t xml:space="preserve">2.6 Region × Status Percentage Heatmap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Per-region split of properties across Healthy / Demand / Velocity / Critical buckets, as percentages.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Reads the same way as 2.5 but normalized by region. CE at 67% Critical is concerning; EA at 73% Healthy is healthy. The color gradient (green→red) is the visual shortcut.</w:t>
      </w:r>
    </w:p>
    <w:bookmarkEnd w:id="46"/>
    <w:bookmarkStart w:id="47" w:name="operations-property-drill-list"/>
    <w:p>
      <w:pPr>
        <w:pStyle w:val="Heading2"/>
      </w:pPr>
      <w:r>
        <w:t xml:space="preserve">2.7 Operations Property Drill List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Sortable property table — Region, Market, Property, SLA badge, Score, Risk Level. Click-through to</w:t>
      </w:r>
      <w:r>
        <w:t xml:space="preserve"> </w:t>
      </w:r>
      <w:r>
        <w:rPr>
          <w:bCs/>
          <w:b/>
        </w:rPr>
        <w:t xml:space="preserve">Operations Detail</w:t>
      </w:r>
      <w:r>
        <w:t xml:space="preserve"> </w:t>
      </w:r>
      <w:r>
        <w:t xml:space="preserve">page (drill-through).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Default sort is by score descending. The SLA column shows a green checkmark when within SLA, red when not. The Risk Level column maps to the same tiers as the matrix above.</w:t>
      </w:r>
    </w:p>
    <w:bookmarkEnd w:id="47"/>
    <w:bookmarkEnd w:id="48"/>
    <w:bookmarkStart w:id="59" w:name="page-3-marketing-funnel"/>
    <w:p>
      <w:pPr>
        <w:pStyle w:val="Heading1"/>
      </w:pPr>
      <w:r>
        <w:t xml:space="preserve">Page 3 — Marketing Funnel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creen-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Vendor performance scoreboard with funnel conversion, contribution gaps, and VPI rankings. Answers</w:t>
      </w:r>
      <w:r>
        <w:t xml:space="preserve"> </w:t>
      </w:r>
      <w:r>
        <w:t xml:space="preserve">“</w:t>
      </w:r>
      <w:r>
        <w:t xml:space="preserve">Which vendors are paying off, where in the funnel are we losing prospects, and where is spend misallocated?</w:t>
      </w:r>
      <w:r>
        <w:t xml:space="preserve">”</w:t>
      </w:r>
    </w:p>
    <w:bookmarkStart w:id="52" w:name="funnel-health-tile-header"/>
    <w:p>
      <w:pPr>
        <w:pStyle w:val="Heading2"/>
      </w:pPr>
      <w:r>
        <w:t xml:space="preserve">3.1 Funnel Health Tile (header)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0–70-something composite for funnel health.</w:t>
      </w:r>
    </w:p>
    <w:p>
      <w:pPr>
        <w:pStyle w:val="BodyText"/>
      </w:pPr>
      <w:r>
        <w:rPr>
          <w:bCs/>
          <w:b/>
        </w:rPr>
        <w:t xml:space="preserve">DAX:</w:t>
      </w:r>
      <w:r>
        <w:t xml:space="preserve"> </w:t>
      </w:r>
      <w:r>
        <w:t xml:space="preserve">Average funnel-stage score weighted by stage. The yellow warning icon at 70 indicates the score is in the</w:t>
      </w:r>
      <w:r>
        <w:t xml:space="preserve"> </w:t>
      </w:r>
      <w:r>
        <w:t xml:space="preserve">“</w:t>
      </w:r>
      <w:r>
        <w:t xml:space="preserve">Performing</w:t>
      </w:r>
      <w:r>
        <w:t xml:space="preserve">”</w:t>
      </w:r>
      <w:r>
        <w:t xml:space="preserve"> </w:t>
      </w:r>
      <w:r>
        <w:t xml:space="preserve">tier but not</w:t>
      </w:r>
      <w:r>
        <w:t xml:space="preserve"> </w:t>
      </w:r>
      <w:r>
        <w:t xml:space="preserve">“</w:t>
      </w:r>
      <w:r>
        <w:t xml:space="preserve">Top Performer</w:t>
      </w:r>
      <w:r>
        <w:t xml:space="preserve">”</w:t>
      </w:r>
      <w:r>
        <w:t xml:space="preserve"> </w:t>
      </w:r>
      <w:r>
        <w:t xml:space="preserve">— a single click on the tile shows the breakdown.</w:t>
      </w:r>
    </w:p>
    <w:bookmarkEnd w:id="52"/>
    <w:bookmarkStart w:id="53" w:name="five-stage-funnel-header"/>
    <w:p>
      <w:pPr>
        <w:pStyle w:val="Heading2"/>
      </w:pPr>
      <w:r>
        <w:t xml:space="preserve">3.2 Five-Stage Funnel Header</w:t>
      </w:r>
    </w:p>
    <w:p>
      <w:pPr>
        <w:pStyle w:val="FirstParagraph"/>
      </w:pPr>
      <w:r>
        <w:t xml:space="preserve">Five cards:</w:t>
      </w:r>
      <w:r>
        <w:t xml:space="preserve"> </w:t>
      </w:r>
      <w:r>
        <w:rPr>
          <w:bCs/>
          <w:b/>
        </w:rPr>
        <w:t xml:space="preserve">Impressions · Clicks · Leads (Funnel) · Visits (Funnel) · New Leases (Funnel)</w:t>
      </w:r>
    </w:p>
    <w:p>
      <w:pPr>
        <w:pStyle w:val="BodyText"/>
      </w:pPr>
      <w:r>
        <w:t xml:space="preserve">Each card shows total volume in period, the 3-month average, and the prior-period delta arrow. The</w:t>
      </w:r>
      <w:r>
        <w:t xml:space="preserve"> </w:t>
      </w:r>
      <w:r>
        <w:t xml:space="preserve">“</w:t>
      </w:r>
      <w:r>
        <w:t xml:space="preserve">(Funnel)</w:t>
      </w:r>
      <w:r>
        <w:t xml:space="preserve">”</w:t>
      </w:r>
      <w:r>
        <w:t xml:space="preserve"> </w:t>
      </w:r>
      <w:r>
        <w:t xml:space="preserve">suffix distinguishes funnel measures (</w:t>
      </w:r>
      <w:r>
        <w:rPr>
          <w:rStyle w:val="VerbatimChar"/>
        </w:rPr>
        <w:t xml:space="preserve">fact_marketing_funnel_daily</w:t>
      </w:r>
      <w:r>
        <w:t xml:space="preserve">) from operational measures (</w:t>
      </w:r>
      <w:r>
        <w:rPr>
          <w:rStyle w:val="VerbatimChar"/>
        </w:rPr>
        <w:t xml:space="preserve">fact_leasing_daily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Leads (Funnel) and Leads (Actual) can differ. Funnel leads count</w:t>
      </w:r>
      <w:r>
        <w:t xml:space="preserve"> </w:t>
      </w:r>
      <w:r>
        <w:rPr>
          <w:iCs/>
          <w:i/>
        </w:rPr>
        <w:t xml:space="preserve">touchpoints</w:t>
      </w:r>
      <w:r>
        <w:t xml:space="preserve"> </w:t>
      </w:r>
      <w:r>
        <w:t xml:space="preserve">tagged as leads in the marketing funnel; Actual leads count CRM lead records. Reconciliation between the two is part of the ETL pipeline (</w:t>
      </w:r>
      <w:r>
        <w:rPr>
          <w:rStyle w:val="VerbatimChar"/>
        </w:rPr>
        <w:t xml:space="preserve">pipeline_flags</w:t>
      </w:r>
      <w:r>
        <w:t xml:space="preserve"> </w:t>
      </w:r>
      <w:r>
        <w:t xml:space="preserve">table); some divergence is normal.</w:t>
      </w:r>
    </w:p>
    <w:bookmarkEnd w:id="53"/>
    <w:bookmarkStart w:id="54" w:name="bestworst-performance-callouts-left-rail"/>
    <w:p>
      <w:pPr>
        <w:pStyle w:val="Heading2"/>
      </w:pPr>
      <w:r>
        <w:t xml:space="preserve">3.3 Best/Worst Performance Callouts (left rail)</w:t>
      </w:r>
    </w:p>
    <w:p>
      <w:pPr>
        <w:pStyle w:val="FirstParagraph"/>
      </w:pPr>
      <w:r>
        <w:t xml:space="preserve">Six narrative cards: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Best Performer Cost Per Lease</w:t>
      </w:r>
      <w:r>
        <w:t xml:space="preserve"> </w:t>
      </w:r>
      <w:r>
        <w:t xml:space="preserve">— vendor with lowest CPLease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Best Performer Lead to Lease</w:t>
      </w:r>
      <w:r>
        <w:t xml:space="preserve"> </w:t>
      </w:r>
      <w:r>
        <w:t xml:space="preserve">— vendor with highest L2L %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Biggest Spend Waste</w:t>
      </w:r>
      <w:r>
        <w:t xml:space="preserve"> </w:t>
      </w:r>
      <w:r>
        <w:t xml:space="preserve">— vendor with high spend AND low VPI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Best Efficiency</w:t>
      </w:r>
      <w:r>
        <w:t xml:space="preserve"> </w:t>
      </w:r>
      <w:r>
        <w:t xml:space="preserve">— vendor with best L2L given spend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Top Movements</w:t>
      </w:r>
      <w:r>
        <w:t xml:space="preserve"> </w:t>
      </w:r>
      <w:r>
        <w:t xml:space="preserve">— vendor with biggest period-over-period VPI change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Lowest Results</w:t>
      </w:r>
      <w:r>
        <w:t xml:space="preserve"> </w:t>
      </w:r>
      <w:r>
        <w:t xml:space="preserve">— vendor with worst funnel gap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These are the marketing leader’s</w:t>
      </w:r>
      <w:r>
        <w:t xml:space="preserve"> </w:t>
      </w:r>
      <w:r>
        <w:t xml:space="preserve">“</w:t>
      </w:r>
      <w:r>
        <w:t xml:space="preserve">where to focus this week</w:t>
      </w:r>
      <w:r>
        <w:t xml:space="preserve">”</w:t>
      </w:r>
      <w:r>
        <w:t xml:space="preserve"> </w:t>
      </w:r>
      <w:r>
        <w:t xml:space="preserve">cards.</w:t>
      </w:r>
    </w:p>
    <w:bookmarkEnd w:id="54"/>
    <w:bookmarkStart w:id="55" w:name="contribution-vs-results-donut"/>
    <w:p>
      <w:pPr>
        <w:pStyle w:val="Heading2"/>
      </w:pPr>
      <w:r>
        <w:t xml:space="preserve">3.4 Contribution vs Results (Donut)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Vendor’s share of impressions (or leads/spend, by toggle).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Each segment is one vendor; outer ring shows % of total volume. Pair this with 3.6 — a vendor with a big slice here AND a positive Contribution Gap is healthy; big slice here AND negative gap is overspending.</w:t>
      </w:r>
    </w:p>
    <w:bookmarkEnd w:id="55"/>
    <w:bookmarkStart w:id="56" w:name="funnel-performance-visual"/>
    <w:p>
      <w:pPr>
        <w:pStyle w:val="Heading2"/>
      </w:pPr>
      <w:r>
        <w:t xml:space="preserve">3.5 Funnel Performance Visual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Stage-by-stage waterfall — Impressions → Clicks → Leads → Visits → New Leases — with conversion % at each step and spend bars overlaid.</w:t>
      </w:r>
    </w:p>
    <w:p>
      <w:pPr>
        <w:pStyle w:val="BodyText"/>
      </w:pPr>
      <w:r>
        <w:rPr>
          <w:bCs/>
          <w:b/>
        </w:rPr>
        <w:t xml:space="preserve">How to read it: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width of each bar</w:t>
      </w:r>
      <w:r>
        <w:t xml:space="preserve"> </w:t>
      </w:r>
      <w:r>
        <w:t xml:space="preserve">is volume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percentage label</w:t>
      </w:r>
      <w:r>
        <w:t xml:space="preserve"> </w:t>
      </w:r>
      <w:r>
        <w:t xml:space="preserve">is the conversion rate from the prior stage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right-side gold bars</w:t>
      </w:r>
      <w:r>
        <w:t xml:space="preserve"> </w:t>
      </w:r>
      <w:r>
        <w:t xml:space="preserve">are the cost-per-step ($1.56 per click, $9.87 per lead, etc.)</w:t>
      </w:r>
    </w:p>
    <w:p>
      <w:pPr>
        <w:pStyle w:val="FirstParagraph"/>
      </w:pPr>
      <w:r>
        <w:t xml:space="preserve">The biggest drop-off in the screenshot is Clicks → Leads at 25.8% — that’s the stage to fix first.</w:t>
      </w:r>
    </w:p>
    <w:bookmarkEnd w:id="56"/>
    <w:bookmarkStart w:id="57" w:name="contribution-gap-bar-chart"/>
    <w:p>
      <w:pPr>
        <w:pStyle w:val="Heading2"/>
      </w:pPr>
      <w:r>
        <w:t xml:space="preserve">3.6 Contribution Gap Bar Chart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Disparity between a vendor’s share of spend and share of conversion.</w:t>
      </w:r>
    </w:p>
    <w:p>
      <w:pPr>
        <w:pStyle w:val="BodyText"/>
      </w:pPr>
      <w:r>
        <w:rPr>
          <w:bCs/>
          <w:b/>
        </w:rPr>
        <w:t xml:space="preserve">DAX:</w:t>
      </w:r>
      <w:r>
        <w:t xml:space="preserve"> </w:t>
      </w:r>
      <w:r>
        <w:rPr>
          <w:rStyle w:val="VerbatimChar"/>
        </w:rPr>
        <w:t xml:space="preserve">(Vendor's % of Conversions) − (Vendor's % of Spend)</w:t>
      </w:r>
      <w:r>
        <w:t xml:space="preserve">. Positive = converting more than its spend share (efficient); negative = overspending relative to results.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Vendors are sorted descending by gap.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Green positive bars</w:t>
      </w:r>
      <w:r>
        <w:t xml:space="preserve"> </w:t>
      </w:r>
      <w:r>
        <w:t xml:space="preserve">at top — these vendors are over-delivering. Apartments.com at +15.4% means it converts 15.4 percentage points more than its spend share would predict.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 negative bars</w:t>
      </w:r>
      <w:r>
        <w:t xml:space="preserve"> </w:t>
      </w:r>
      <w:r>
        <w:t xml:space="preserve">at bottom — these vendors are over-paid relative to results. Bing Ads at -4.8% is the largest underperformer.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the most actionable single visual</w:t>
      </w:r>
      <w:r>
        <w:t xml:space="preserve"> </w:t>
      </w:r>
      <w:r>
        <w:t xml:space="preserve">for budget reallocation conversations.</w:t>
      </w:r>
    </w:p>
    <w:bookmarkEnd w:id="57"/>
    <w:bookmarkStart w:id="58" w:name="vpi-vendor-ranking-table"/>
    <w:p>
      <w:pPr>
        <w:pStyle w:val="Heading2"/>
      </w:pPr>
      <w:r>
        <w:t xml:space="preserve">3.7 VPI Vendor Ranking Table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Definitive ranked list of vendors by VPI score.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dim_vendor[VendorName]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 Portfolio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 Performance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VPI 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 Consistency</w:t>
            </w:r>
            <w:r>
              <w:t xml:space="preserve"> </w:t>
            </w:r>
            <w:r>
              <w:t xml:space="preserve">(range across 4 stage scores)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VPI_Status_Icon</w:t>
            </w:r>
            <w:r>
              <w:t xml:space="preserve"> </w:t>
            </w:r>
            <w:r>
              <w:t xml:space="preserve">(Top Performer / Performing / Warning / At Risk)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read it:</w:t>
      </w:r>
    </w:p>
    <w:p>
      <w:pPr>
        <w:numPr>
          <w:ilvl w:val="0"/>
          <w:numId w:val="1013"/>
        </w:numPr>
        <w:pStyle w:val="Compact"/>
      </w:pPr>
      <w:r>
        <w:t xml:space="preserve">Score is the headline.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Consistency tells you whether to trust the score.</w:t>
      </w:r>
      <w:r>
        <w:t xml:space="preserve"> </w:t>
      </w:r>
      <w:r>
        <w:t xml:space="preserve">“</w:t>
      </w:r>
      <w:r>
        <w:t xml:space="preserve">Very Consistent</w:t>
      </w:r>
      <w:r>
        <w:t xml:space="preserve">”</w:t>
      </w:r>
      <w:r>
        <w:t xml:space="preserve"> </w:t>
      </w:r>
      <w:r>
        <w:t xml:space="preserve">means the vendor is balanced across all 4 funnel stages.</w:t>
      </w:r>
      <w:r>
        <w:t xml:space="preserve"> </w:t>
      </w:r>
      <w:r>
        <w:t xml:space="preserve">“</w:t>
      </w:r>
      <w:r>
        <w:t xml:space="preserve">Very Inconsistent</w:t>
      </w:r>
      <w:r>
        <w:t xml:space="preserve">”</w:t>
      </w:r>
      <w:r>
        <w:t xml:space="preserve"> </w:t>
      </w:r>
      <w:r>
        <w:t xml:space="preserve">means the vendor is great at 1–2 stages and terrible at others — its top-line VPI may hide a serious weakness.</w:t>
      </w:r>
    </w:p>
    <w:p>
      <w:pPr>
        <w:numPr>
          <w:ilvl w:val="0"/>
          <w:numId w:val="1013"/>
        </w:numPr>
        <w:pStyle w:val="Compact"/>
      </w:pPr>
      <w:r>
        <w:t xml:space="preserve">Status icon is a quick visual tier marker.</w:t>
      </w:r>
    </w:p>
    <w:p>
      <w:pPr>
        <w:pStyle w:val="FirstParagraph"/>
      </w:pPr>
      <w:r>
        <w:t xml:space="preserve">In the screenshot, Google Ads ranks #4 with 61.2 (Performing) — but is</w:t>
      </w:r>
      <w:r>
        <w:t xml:space="preserve"> </w:t>
      </w:r>
      <w:r>
        <w:t xml:space="preserve">“</w:t>
      </w:r>
      <w:r>
        <w:t xml:space="preserve">Very Inconsistent.</w:t>
      </w:r>
      <w:r>
        <w:t xml:space="preserve">”</w:t>
      </w:r>
      <w:r>
        <w:t xml:space="preserve"> </w:t>
      </w:r>
      <w:r>
        <w:t xml:space="preserve">That’s a yellow flag: the score is propped up by one or two stages.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Rank ties get the same number (competition rank). Two vendors tied at 65.0 will both show #3, and the next vendor will show #5 — not #4.</w:t>
      </w:r>
    </w:p>
    <w:bookmarkEnd w:id="58"/>
    <w:bookmarkEnd w:id="59"/>
    <w:bookmarkStart w:id="70" w:name="page-4-geography-page"/>
    <w:p>
      <w:pPr>
        <w:pStyle w:val="Heading1"/>
      </w:pPr>
      <w:r>
        <w:t xml:space="preserve">Page 4 — Geography Page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creen-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GPI-driven view of marketing property health across regions, markets, and properties. Answers</w:t>
      </w:r>
      <w:r>
        <w:t xml:space="preserve"> </w:t>
      </w:r>
      <w:r>
        <w:t xml:space="preserve">“</w:t>
      </w:r>
      <w:r>
        <w:t xml:space="preserve">Where geographically is marketing performing, where is it failing, and where should we intervene?</w:t>
      </w:r>
      <w:r>
        <w:t xml:space="preserve">”</w:t>
      </w:r>
    </w:p>
    <w:bookmarkStart w:id="63" w:name="gpi-tier-icon-header"/>
    <w:p>
      <w:pPr>
        <w:pStyle w:val="Heading2"/>
      </w:pPr>
      <w:r>
        <w:t xml:space="preserve">4.1 GPI Tier Icon (header)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Tier badge for the current selection (portfolio, region, market, or property depending on filter context).</w:t>
      </w:r>
    </w:p>
    <w:p>
      <w:pPr>
        <w:pStyle w:val="BodyText"/>
      </w:pPr>
      <w:r>
        <w:rPr>
          <w:bCs/>
          <w:b/>
        </w:rPr>
        <w:t xml:space="preserve">DAX:</w:t>
      </w:r>
      <w:r>
        <w:t xml:space="preserve"> </w:t>
      </w:r>
      <w:r>
        <w:rPr>
          <w:rStyle w:val="VerbatimChar"/>
        </w:rPr>
        <w:t xml:space="preserve">GPI Tier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GPI Score</w:t>
      </w:r>
      <w:r>
        <w:t xml:space="preserve">. Tiers: Excellent (≥80), High Performing (65–79), Below Average (50–64), At Risk (35–49), Critical (&lt;35).</w:t>
      </w:r>
    </w:p>
    <w:bookmarkEnd w:id="63"/>
    <w:bookmarkStart w:id="64" w:name="five-kpi-header-strip-1"/>
    <w:p>
      <w:pPr>
        <w:pStyle w:val="Heading2"/>
      </w:pPr>
      <w:r>
        <w:t xml:space="preserve">4.2 Five-KPI Header Strip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 per Lease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Month 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 Spend</w:t>
            </w:r>
            <w:r>
              <w:t xml:space="preserve"> </w:t>
            </w:r>
            <w:r>
              <w:t xml:space="preserve">÷ months in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Marketing SLA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 Properties Within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Lead-to-Lease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Lead-to-Lease Conversion %</w:t>
            </w:r>
          </w:p>
        </w:tc>
      </w:tr>
    </w:tbl>
    <w:bookmarkEnd w:id="64"/>
    <w:bookmarkStart w:id="65" w:name="geographic-signal-callouts-left-rail"/>
    <w:p>
      <w:pPr>
        <w:pStyle w:val="Heading2"/>
      </w:pPr>
      <w:r>
        <w:t xml:space="preserve">4.3 Geographic Signal Callouts (left rail)</w:t>
      </w:r>
    </w:p>
    <w:p>
      <w:pPr>
        <w:pStyle w:val="FirstParagraph"/>
      </w:pPr>
      <w:r>
        <w:t xml:space="preserve">Six cards naming the top signal in each category: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Highest Risk Area</w:t>
      </w:r>
      <w:r>
        <w:t xml:space="preserve"> </w:t>
      </w:r>
      <w:r>
        <w:t xml:space="preserve">— region with lowest GPI + worst SLA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Best ROI Area</w:t>
      </w:r>
      <w:r>
        <w:t xml:space="preserve"> </w:t>
      </w:r>
      <w:r>
        <w:t xml:space="preserve">— region with highest GPI + lowest CPL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Intervention Concentration Area</w:t>
      </w:r>
      <w:r>
        <w:t xml:space="preserve"> </w:t>
      </w:r>
      <w:r>
        <w:t xml:space="preserve">— region with most properties needing intervention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Lead to Lease Gap</w:t>
      </w:r>
      <w:r>
        <w:t xml:space="preserve"> </w:t>
      </w:r>
      <w:r>
        <w:t xml:space="preserve">— region where L2L lags portfolio average most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Occupancy Recovery Signal</w:t>
      </w:r>
      <w:r>
        <w:t xml:space="preserve"> </w:t>
      </w:r>
      <w:r>
        <w:t xml:space="preserve">— region trending up most in occupancy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Scale Opportunity</w:t>
      </w:r>
      <w:r>
        <w:t xml:space="preserve"> </w:t>
      </w:r>
      <w:r>
        <w:t xml:space="preserve">— region with capacity to absorb more spend efficiently</w:t>
      </w:r>
    </w:p>
    <w:bookmarkEnd w:id="65"/>
    <w:bookmarkStart w:id="66" w:name="Xc7afc297b145be3406bbad9afce4311134c612e"/>
    <w:p>
      <w:pPr>
        <w:pStyle w:val="Heading2"/>
      </w:pPr>
      <w:r>
        <w:t xml:space="preserve">4.4 Vendor vs Operations Health Matrix (Scatter)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Lead-to-Lease % (X) vs Cost-per-Lease (Y), per property — surfaces marketing efficiency vs. yield combinations.</w:t>
      </w:r>
    </w:p>
    <w:p>
      <w:pPr>
        <w:pStyle w:val="BodyText"/>
      </w:pPr>
      <w:r>
        <w:rPr>
          <w:bCs/>
          <w:b/>
        </w:rPr>
        <w:t xml:space="preserve">Quadrants: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High Performing</w:t>
      </w:r>
      <w:r>
        <w:t xml:space="preserve"> </w:t>
      </w:r>
      <w:r>
        <w:t xml:space="preserve">(low CPL, high L2L) — best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Efficient</w:t>
      </w:r>
      <w:r>
        <w:t xml:space="preserve"> </w:t>
      </w:r>
      <w:r>
        <w:t xml:space="preserve">(low CPL, low L2L) — cheap but not converting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Underinvested</w:t>
      </w:r>
      <w:r>
        <w:t xml:space="preserve"> </w:t>
      </w:r>
      <w:r>
        <w:t xml:space="preserve">(high CPL, high L2L) — converting but expensive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Rethink</w:t>
      </w:r>
      <w:r>
        <w:t xml:space="preserve"> </w:t>
      </w:r>
      <w:r>
        <w:t xml:space="preserve">(high CPL, low L2L) — worst, intervention needed</w:t>
      </w:r>
    </w:p>
    <w:p>
      <w:pPr>
        <w:pStyle w:val="FirstParagraph"/>
      </w:pPr>
      <w:r>
        <w:t xml:space="preserve">Bubble size = property scale; color = GPI tier.</w:t>
      </w:r>
    </w:p>
    <w:bookmarkEnd w:id="66"/>
    <w:bookmarkStart w:id="67" w:name="geo-score-map"/>
    <w:p>
      <w:pPr>
        <w:pStyle w:val="Heading2"/>
      </w:pPr>
      <w:r>
        <w:t xml:space="preserve">4.5 Geo Score Map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Choropleth-style U.S. map with property pins colored by GPI tier (green = Excellent, red = Critical, gray = no data).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Cluster of green pins = healthy region; cluster of red = problem region. Click a pin or region to drill the rest of the page; click through to</w:t>
      </w:r>
      <w:r>
        <w:t xml:space="preserve"> </w:t>
      </w:r>
      <w:r>
        <w:rPr>
          <w:bCs/>
          <w:b/>
        </w:rPr>
        <w:t xml:space="preserve">Geography Detail</w:t>
      </w:r>
      <w:r>
        <w:t xml:space="preserve"> </w:t>
      </w:r>
      <w:r>
        <w:t xml:space="preserve">for a single property deep dive.</w:t>
      </w:r>
    </w:p>
    <w:bookmarkEnd w:id="67"/>
    <w:bookmarkStart w:id="68" w:name="region-tier-distribution-matrix"/>
    <w:p>
      <w:pPr>
        <w:pStyle w:val="Heading2"/>
      </w:pPr>
      <w:r>
        <w:t xml:space="preserve">4.6 Region × Tier Distribution Matrix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Per-region count of properties by Marketing Tier (Efficient, High Performing, Rethink, Underinvested).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Same logic as the Ops matrix on page 2 — read each row across; concentrations of</w:t>
      </w:r>
      <w:r>
        <w:t xml:space="preserve"> </w:t>
      </w:r>
      <w:r>
        <w:t xml:space="preserve">“</w:t>
      </w:r>
      <w:r>
        <w:t xml:space="preserve">Rethink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Underinvested</w:t>
      </w:r>
      <w:r>
        <w:t xml:space="preserve">”</w:t>
      </w:r>
      <w:r>
        <w:t xml:space="preserve"> </w:t>
      </w:r>
      <w:r>
        <w:t xml:space="preserve">are the targets.</w:t>
      </w:r>
    </w:p>
    <w:bookmarkEnd w:id="68"/>
    <w:bookmarkStart w:id="69" w:name="Xf81a27e397f5c7015fdaabb465fd6b8cc4b9e3b"/>
    <w:p>
      <w:pPr>
        <w:pStyle w:val="Heading2"/>
      </w:pPr>
      <w:r>
        <w:t xml:space="preserve">4.7 Geo Metric Scores by Geography (Right Table)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Sortable table — Market, SLA Risk, Score, Tier — for the geographic level selected (Region or Market dropdown).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Default sort is alphabetical. Sort by Score descending to find the worst markets first. The SLA Risk column has its own threshold (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Operational Risk</w:t>
      </w:r>
      <w:r>
        <w:t xml:space="preserve">”</w:t>
      </w:r>
      <w:r>
        <w:t xml:space="preserve">) independent of GPI tier — a market can be Healthy on SLA but still Below Average on GPI.</w:t>
      </w:r>
    </w:p>
    <w:bookmarkEnd w:id="69"/>
    <w:bookmarkEnd w:id="70"/>
    <w:bookmarkStart w:id="79" w:name="page-5-operations-detail-drill-through"/>
    <w:p>
      <w:pPr>
        <w:pStyle w:val="Heading1"/>
      </w:pPr>
      <w:r>
        <w:t xml:space="preserve">Page 5 — Operations Detail (Drill-Through)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creen-5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Single-property deep dive. Reached via drill-through from page 2 (Operations Monitor). Answers</w:t>
      </w:r>
      <w:r>
        <w:t xml:space="preserve"> </w:t>
      </w:r>
      <w:r>
        <w:t xml:space="preserve">“</w:t>
      </w:r>
      <w:r>
        <w:t xml:space="preserve">Why is this specific property scoring what it scores, and how is it trending?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Header:</w:t>
      </w:r>
      <w:r>
        <w:t xml:space="preserve"> </w:t>
      </w:r>
      <w:r>
        <w:t xml:space="preserve">Property name (Greystar Oxnard), Region | Market | property number, and Ops Index Tier badge (Excellent in the screenshot).</w:t>
      </w:r>
    </w:p>
    <w:bookmarkStart w:id="74" w:name="five-kpi-strip-with-region-benchmarks"/>
    <w:p>
      <w:pPr>
        <w:pStyle w:val="Heading2"/>
      </w:pPr>
      <w:r>
        <w:t xml:space="preserve">5.1 Five-KPI Strip with Region Benchmarks</w:t>
      </w:r>
    </w:p>
    <w:p>
      <w:pPr>
        <w:pStyle w:val="FirstParagraph"/>
      </w:pPr>
      <w:r>
        <w:t xml:space="preserve">Each KPI card shows three things: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Current value</w:t>
      </w:r>
      <w:r>
        <w:t xml:space="preserve"> </w:t>
      </w:r>
      <w:r>
        <w:t xml:space="preserve">for the property in the selected period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vs Region Avg</w:t>
      </w:r>
      <w:r>
        <w:t xml:space="preserve"> </w:t>
      </w:r>
      <w:r>
        <w:t xml:space="preserve">— property minus region average, in absolute or percentage points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 Period</w:t>
      </w:r>
      <w:r>
        <w:t xml:space="preserve"> </w:t>
      </w:r>
      <w:r>
        <w:t xml:space="preserve">— property’s own period-over-period change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 Rate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Occupancy Rate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Vacant Ready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Vacant Ready Units (Est)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 Days (Est)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Vacant Unit Absorption Days (Est)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Move-Ins − Move-Outs in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Vacancy Fill % (30D)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Vacancy Fill % (30D)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Two arrows per card —</w:t>
      </w:r>
      <w:r>
        <w:t xml:space="preserve"> </w:t>
      </w:r>
      <w:r>
        <w:rPr>
          <w:iCs/>
          <w:i/>
        </w:rPr>
        <w:t xml:space="preserve">prior period</w:t>
      </w:r>
      <w:r>
        <w:t xml:space="preserve"> </w:t>
      </w:r>
      <w:r>
        <w:t xml:space="preserve">(the property’s trend) and</w:t>
      </w:r>
      <w:r>
        <w:t xml:space="preserve"> </w:t>
      </w:r>
      <w:r>
        <w:rPr>
          <w:iCs/>
          <w:i/>
        </w:rPr>
        <w:t xml:space="preserve">vs region</w:t>
      </w:r>
      <w:r>
        <w:t xml:space="preserve"> </w:t>
      </w:r>
      <w:r>
        <w:t xml:space="preserve">(the benchmark gap). Both green = strong on both; both red = serious problem; mixed = need to read carefully.</w:t>
      </w:r>
    </w:p>
    <w:p>
      <w:pPr>
        <w:pStyle w:val="BodyText"/>
      </w:pPr>
      <w:r>
        <w:rPr>
          <w:bCs/>
          <w:b/>
        </w:rPr>
        <w:t xml:space="preserve">DAX pattern (region avg comparison):</w:t>
      </w:r>
    </w:p>
    <w:p>
      <w:pPr>
        <w:pStyle w:val="SourceCode"/>
      </w:pPr>
      <w:r>
        <w:rPr>
          <w:rStyle w:val="VerbatimChar"/>
        </w:rPr>
        <w:t xml:space="preserve">&lt;Metric&gt; - vs Region Avg = </w:t>
      </w:r>
      <w:r>
        <w:br/>
      </w:r>
      <w:r>
        <w:rPr>
          <w:rStyle w:val="VerbatimChar"/>
        </w:rPr>
        <w:t xml:space="preserve">VAR PropVal   = [&lt;Metric&gt;]</w:t>
      </w:r>
      <w:r>
        <w:br/>
      </w:r>
      <w:r>
        <w:rPr>
          <w:rStyle w:val="VerbatimChar"/>
        </w:rPr>
        <w:t xml:space="preserve">VAR RegionAvg = CALCULATE([&lt;Metric&gt;], </w:t>
      </w:r>
      <w:r>
        <w:br/>
      </w:r>
      <w:r>
        <w:rPr>
          <w:rStyle w:val="VerbatimChar"/>
        </w:rPr>
        <w:t xml:space="preserve">                          ALLEXCEPT(dim_property, dim_property[RegionKey]))</w:t>
      </w:r>
      <w:r>
        <w:br/>
      </w:r>
      <w:r>
        <w:rPr>
          <w:rStyle w:val="VerbatimChar"/>
        </w:rPr>
        <w:t xml:space="preserve">RETURN PropVal - RegionAvg</w:t>
      </w:r>
    </w:p>
    <w:p>
      <w:pPr>
        <w:pStyle w:val="FirstParagraph"/>
      </w:pPr>
      <w:r>
        <w:rPr>
          <w:bCs/>
          <w:b/>
        </w:rPr>
        <w:t xml:space="preserve">Edge case:</w:t>
      </w:r>
      <w:r>
        <w:t xml:space="preserve"> </w:t>
      </w:r>
      <w:r>
        <w:t xml:space="preserve">Region averages are unweighted property averages, not weighted by units. A 10-unit boutique property and a 400-unit complex contribute equally to the average.</w:t>
      </w:r>
    </w:p>
    <w:bookmarkEnd w:id="74"/>
    <w:bookmarkStart w:id="75" w:name="index-score-rank-sla-cards-left-rail"/>
    <w:p>
      <w:pPr>
        <w:pStyle w:val="Heading2"/>
      </w:pPr>
      <w:r>
        <w:t xml:space="preserve">5.2 Index Score / Rank / SLA Cards (left rail)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Ops Index Score</w:t>
      </w:r>
      <w:r>
        <w:t xml:space="preserve"> </w:t>
      </w:r>
      <w:r>
        <w:t xml:space="preserve">— property’s score with star rating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Index Rank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#43 of 120</w:t>
      </w:r>
      <w:r>
        <w:t xml:space="preserve"> </w:t>
      </w:r>
      <w:r>
        <w:t xml:space="preserve">ranking format (</w:t>
      </w:r>
      <w:r>
        <w:rPr>
          <w:rStyle w:val="VerbatimChar"/>
        </w:rPr>
        <w:t xml:space="preserve">Ops_Index_Property_Rank_Display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Within SLA</w:t>
      </w:r>
      <w:r>
        <w:t xml:space="preserve"> </w:t>
      </w:r>
      <w:r>
        <w:t xml:space="preserve">— Yes/No badge based on coverage ratio + score thresholds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Strongest Component / Weakest Component</w:t>
      </w:r>
      <w:r>
        <w:t xml:space="preserve"> </w:t>
      </w:r>
      <w:r>
        <w:t xml:space="preserve">— component name driving up / pulling down the score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Strongest/Weakest is the most actionable pair on this page. If the property scores 90 but its weakest component is</w:t>
      </w:r>
      <w:r>
        <w:t xml:space="preserve"> </w:t>
      </w:r>
      <w:r>
        <w:t xml:space="preserve">“</w:t>
      </w:r>
      <w:r>
        <w:t xml:space="preserve">Occupancy Rate,</w:t>
      </w:r>
      <w:r>
        <w:t xml:space="preserve">”</w:t>
      </w:r>
      <w:r>
        <w:t xml:space="preserve"> </w:t>
      </w:r>
      <w:r>
        <w:t xml:space="preserve">that’s where to focus the next ops review.</w:t>
      </w:r>
    </w:p>
    <w:bookmarkEnd w:id="75"/>
    <w:bookmarkStart w:id="76" w:name="X182e969843c4222dda1e5f559edc07d7012ee1f"/>
    <w:p>
      <w:pPr>
        <w:pStyle w:val="Heading2"/>
      </w:pPr>
      <w:r>
        <w:t xml:space="preserve">5.3 Leasing Readiness vs Fill Rate (Combo Chart)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12-month combo chart with Vacancy Fill % (30D) line and Vacant Ready % area.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Falling Vacant Ready paired with rising Vacancy Fill = the property is processing units faster than it’s accumulating vacancies. The opposite (rising Vacant Ready, falling Vacancy Fill) is a backlog warning.</w:t>
      </w:r>
    </w:p>
    <w:bookmarkEnd w:id="76"/>
    <w:bookmarkStart w:id="77" w:name="unit-flow-net-absorption-bar-line"/>
    <w:p>
      <w:pPr>
        <w:pStyle w:val="Heading2"/>
      </w:pPr>
      <w:r>
        <w:t xml:space="preserve">5.4 Unit Flow &amp; Net Absorption (Bar + Line)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Move-Ins (yellow bars) and Move-Outs (orange bars) with Net Absorption (line) over 12 months.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Bars above zero are inflow, below are outflow; the line tracks the net. Sustained negative net absorption is a red flag regardless of headline occupancy.</w:t>
      </w:r>
    </w:p>
    <w:bookmarkEnd w:id="77"/>
    <w:bookmarkStart w:id="78" w:name="trend-table"/>
    <w:p>
      <w:pPr>
        <w:pStyle w:val="Heading2"/>
      </w:pPr>
      <w:r>
        <w:t xml:space="preserve">5.5 Trend Table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Month-by-month detail — Index Score, Occupancy %, Vacant Units, Move-Ins (60D), Lease Expirations, Lease Velocity.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Default sort is descending by month. Look for trend reversals (e.g., Occupancy was rising then started falling) before isolated bad months.</w:t>
      </w:r>
    </w:p>
    <w:bookmarkEnd w:id="78"/>
    <w:bookmarkEnd w:id="79"/>
    <w:bookmarkStart w:id="88" w:name="page-6-funnel-detail-drill-through"/>
    <w:p>
      <w:pPr>
        <w:pStyle w:val="Heading1"/>
      </w:pPr>
      <w:r>
        <w:t xml:space="preserve">Page 6 — Funnel Detail (Drill-Through)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creen-6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Single-vendor deep dive. Reached via drill-through from page 3 (Marketing Funnel). Answers</w:t>
      </w:r>
      <w:r>
        <w:t xml:space="preserve"> </w:t>
      </w:r>
      <w:r>
        <w:t xml:space="preserve">“</w:t>
      </w:r>
      <w:r>
        <w:t xml:space="preserve">Why is this specific vendor scoring what it scores, and where in the funnel is it strong or weak?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Header:</w:t>
      </w:r>
      <w:r>
        <w:t xml:space="preserve"> </w:t>
      </w:r>
      <w:r>
        <w:t xml:space="preserve">Vendor — Channel — rank format (Apartments.com | ILS | #2), with VPI Tier Icon (</w:t>
      </w:r>
      <w:r>
        <w:rPr>
          <w:rStyle w:val="VerbatimChar"/>
        </w:rPr>
        <w:t xml:space="preserve">[Elite]</w:t>
      </w:r>
      <w:r>
        <w:t xml:space="preserve"> </w:t>
      </w:r>
      <w:r>
        <w:t xml:space="preserve">in the screenshot).</w:t>
      </w:r>
    </w:p>
    <w:bookmarkStart w:id="83" w:name="Xfb6e2d9bb2ad2d2188e02e3e643bc4cbaec524f"/>
    <w:p>
      <w:pPr>
        <w:pStyle w:val="Heading2"/>
      </w:pPr>
      <w:r>
        <w:t xml:space="preserve">6.1 Five-Stage KPI Strip with Vendor-Avg Benchmarks</w:t>
      </w:r>
    </w:p>
    <w:p>
      <w:pPr>
        <w:pStyle w:val="FirstParagraph"/>
      </w:pPr>
      <w:r>
        <w:t xml:space="preserve">Same five funnel stages as page 3, but each card now shows: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Current value</w:t>
      </w:r>
      <w:r>
        <w:t xml:space="preserve"> </w:t>
      </w:r>
      <w:r>
        <w:t xml:space="preserve">for this vendor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vs Vendor Avg</w:t>
      </w:r>
      <w:r>
        <w:t xml:space="preserve"> </w:t>
      </w:r>
      <w:r>
        <w:t xml:space="preserve">— vendor minus cross-vendor average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Prior Period</w:t>
      </w:r>
      <w:r>
        <w:t xml:space="preserve"> </w:t>
      </w:r>
      <w:r>
        <w:t xml:space="preserve">— vendor’s own period-over-period change</w:t>
      </w:r>
    </w:p>
    <w:p>
      <w:pPr>
        <w:pStyle w:val="FirstParagraph"/>
      </w:pPr>
      <w:r>
        <w:t xml:space="preserve">The Vendor Avg comparison is the analog of the Region Avg comparison on page 5 — same pattern, different dimension.</w:t>
      </w:r>
    </w:p>
    <w:bookmarkEnd w:id="83"/>
    <w:bookmarkStart w:id="84" w:name="X75a6bd3a51b56bd7888a927f126acc96ce086eb"/>
    <w:p>
      <w:pPr>
        <w:pStyle w:val="Heading2"/>
      </w:pPr>
      <w:r>
        <w:t xml:space="preserve">6.2 Index Score / Portfolio Rank Cards (left rail)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Index Score</w:t>
      </w:r>
      <w:r>
        <w:t xml:space="preserve"> </w:t>
      </w:r>
      <w:r>
        <w:t xml:space="preserve">— VPI score with star rating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Portfolio Rank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#2 of 11</w:t>
      </w:r>
      <w:r>
        <w:t xml:space="preserve"> </w:t>
      </w:r>
      <w:r>
        <w:t xml:space="preserve">ranking format (</w:t>
      </w:r>
      <w:r>
        <w:rPr>
          <w:rStyle w:val="VerbatimChar"/>
        </w:rPr>
        <w:t xml:space="preserve">VPI Portfolio Rank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Strongest Area</w:t>
      </w:r>
      <w:r>
        <w:t xml:space="preserve"> </w:t>
      </w:r>
      <w:r>
        <w:t xml:space="preserve">— name of the strongest funnel stage component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Weakest Area</w:t>
      </w:r>
      <w:r>
        <w:t xml:space="preserve"> </w:t>
      </w:r>
      <w:r>
        <w:t xml:space="preserve">— name of the weakest funnel stage component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Stage Scores Summary</w:t>
      </w:r>
      <w:r>
        <w:t xml:space="preserve"> </w:t>
      </w:r>
      <w:r>
        <w:t xml:space="preserve">— compact</w:t>
      </w:r>
      <w:r>
        <w:t xml:space="preserve"> </w:t>
      </w:r>
      <w:r>
        <w:rPr>
          <w:rStyle w:val="VerbatimChar"/>
        </w:rPr>
        <w:t xml:space="preserve">A:## | C:## | E:## | V:##</w:t>
      </w:r>
      <w:r>
        <w:t xml:space="preserve"> </w:t>
      </w:r>
      <w:r>
        <w:t xml:space="preserve">ribbon</w:t>
      </w:r>
    </w:p>
    <w:p>
      <w:pPr>
        <w:pStyle w:val="FirstParagraph"/>
      </w:pPr>
      <w:r>
        <w:rPr>
          <w:bCs/>
          <w:b/>
        </w:rPr>
        <w:t xml:space="preserve">The Stage Scores Summary is the single best diagnostic on this page.</w:t>
      </w:r>
      <w:r>
        <w:t xml:space="preserve"> </w:t>
      </w:r>
      <w:r>
        <w:t xml:space="preserve">The screenshot shows</w:t>
      </w:r>
      <w:r>
        <w:t xml:space="preserve"> </w:t>
      </w:r>
      <w:r>
        <w:rPr>
          <w:rStyle w:val="VerbatimChar"/>
        </w:rPr>
        <w:t xml:space="preserve">A:100 | C:92 | E:92 | V:100</w:t>
      </w:r>
      <w:r>
        <w:t xml:space="preserve"> </w:t>
      </w:r>
      <w:r>
        <w:t xml:space="preserve">— Apartments.com is essentially perfect across all four stages. A vendor showing</w:t>
      </w:r>
      <w:r>
        <w:t xml:space="preserve"> </w:t>
      </w:r>
      <w:r>
        <w:rPr>
          <w:rStyle w:val="VerbatimChar"/>
        </w:rPr>
        <w:t xml:space="preserve">A:95 | C:88 | E:45 | V:30</w:t>
      </w:r>
      <w:r>
        <w:t xml:space="preserve"> </w:t>
      </w:r>
      <w:r>
        <w:t xml:space="preserve">would have a strong front-end but a fatal weakness at lead conversion.</w:t>
      </w:r>
    </w:p>
    <w:p>
      <w:pPr>
        <w:pStyle w:val="BodyText"/>
      </w:pPr>
      <w:r>
        <w:rPr>
          <w:bCs/>
          <w:b/>
        </w:rPr>
        <w:t xml:space="preserve">DAX:</w:t>
      </w:r>
    </w:p>
    <w:p>
      <w:pPr>
        <w:pStyle w:val="SourceCode"/>
      </w:pPr>
      <w:r>
        <w:rPr>
          <w:rStyle w:val="VerbatimChar"/>
        </w:rPr>
        <w:t xml:space="preserve">VPI Stage Scores Summary =</w:t>
      </w:r>
      <w:r>
        <w:br/>
      </w:r>
      <w:r>
        <w:rPr>
          <w:rStyle w:val="VerbatimChar"/>
        </w:rPr>
        <w:t xml:space="preserve">"A:" &amp; FORMAT([Awareness_Score], "0") &amp; </w:t>
      </w:r>
      <w:r>
        <w:br/>
      </w:r>
      <w:r>
        <w:rPr>
          <w:rStyle w:val="VerbatimChar"/>
        </w:rPr>
        <w:t xml:space="preserve">" | C:" &amp; FORMAT([Consideration_Score], "0") &amp; </w:t>
      </w:r>
      <w:r>
        <w:br/>
      </w:r>
      <w:r>
        <w:rPr>
          <w:rStyle w:val="VerbatimChar"/>
        </w:rPr>
        <w:t xml:space="preserve">" | E:" &amp; FORMAT([Evaluation_Score], "0") &amp; </w:t>
      </w:r>
      <w:r>
        <w:br/>
      </w:r>
      <w:r>
        <w:rPr>
          <w:rStyle w:val="VerbatimChar"/>
        </w:rPr>
        <w:t xml:space="preserve">" | V:" &amp; FORMAT([Conversion_Score], "0")</w:t>
      </w:r>
    </w:p>
    <w:bookmarkEnd w:id="84"/>
    <w:bookmarkStart w:id="85" w:name="X7ff900d8ce219e108103ad83f5b9828c2f39f74"/>
    <w:p>
      <w:pPr>
        <w:pStyle w:val="Heading2"/>
      </w:pPr>
      <w:r>
        <w:t xml:space="preserve">6.3 Investment vs Efficiency Over Time (Combo Chart)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12-month combo — Marketing Spend bars + Cost-per-Lease line.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Rising spend with falling CPL is the ideal pattern (you’re scaling efficiently). Rising spend with rising CPL means diminishing returns — the vendor is saturated. Falling spend with rising CPL means you’re losing scale efficiency.</w:t>
      </w:r>
    </w:p>
    <w:bookmarkEnd w:id="85"/>
    <w:bookmarkStart w:id="86" w:name="funnel-performance-trend-combo-chart"/>
    <w:p>
      <w:pPr>
        <w:pStyle w:val="Heading2"/>
      </w:pPr>
      <w:r>
        <w:t xml:space="preserve">6.4 Funnel Performance Trend (Combo Chart)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12-month combo — Leads (Funnel) and Visits (Funnel) over time.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The two lines should trend roughly together. Divergence signals a conversion-rate change at the visit-to-lead step — worth investigating.</w:t>
      </w:r>
    </w:p>
    <w:bookmarkEnd w:id="86"/>
    <w:bookmarkStart w:id="87" w:name="trend-table-1"/>
    <w:p>
      <w:pPr>
        <w:pStyle w:val="Heading2"/>
      </w:pPr>
      <w:r>
        <w:t xml:space="preserve">6.5 Trend Table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Month-by-month — Index Score, Spend, Touches, New Leases, L2L, Cost per Lead, Visits, CPV, CTR %, etc.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Use this to validate the headline VPI score against the underlying inputs. If the score moves but no individual metric changed dramatically, the cause is usually a percentile shift — the vendor’s competitors moved.</w:t>
      </w:r>
    </w:p>
    <w:bookmarkEnd w:id="87"/>
    <w:bookmarkEnd w:id="88"/>
    <w:bookmarkStart w:id="97" w:name="page-7-geography-detail-drill-through"/>
    <w:p>
      <w:pPr>
        <w:pStyle w:val="Heading1"/>
      </w:pPr>
      <w:r>
        <w:t xml:space="preserve">Page 7 — Geography Detail (Drill-Through)</w:t>
      </w:r>
    </w:p>
    <w:p>
      <w:pPr>
        <w:pStyle w:val="FirstParagraph"/>
      </w:pPr>
      <w:r>
        <w:drawing>
          <wp:inline>
            <wp:extent cx="5334000" cy="308435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creen-7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Single-property GPI deep dive. Reached via drill-through from page 4 (Geography Page). Answers</w:t>
      </w:r>
      <w:r>
        <w:t xml:space="preserve"> </w:t>
      </w:r>
      <w:r>
        <w:t xml:space="preserve">“</w:t>
      </w:r>
      <w:r>
        <w:t xml:space="preserve">Why is this specific property scoring what it scores on marketing, and how is it trending?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Header:</w:t>
      </w:r>
      <w:r>
        <w:t xml:space="preserve"> </w:t>
      </w:r>
      <w:r>
        <w:t xml:space="preserve">Property name (Broadstone Allentown), Region | Market | property number, with Marketing Tier badge (</w:t>
      </w:r>
      <w:r>
        <w:rPr>
          <w:rStyle w:val="VerbatimChar"/>
        </w:rPr>
        <w:t xml:space="preserve">[Excellent]</w:t>
      </w:r>
      <w:r>
        <w:t xml:space="preserve">).</w:t>
      </w:r>
    </w:p>
    <w:bookmarkStart w:id="92" w:name="five-kpi-strip-with-region-benchmarks-1"/>
    <w:p>
      <w:pPr>
        <w:pStyle w:val="Heading2"/>
      </w:pPr>
      <w:r>
        <w:t xml:space="preserve">7.1 Five-KPI Strip with Region Benchmarks</w:t>
      </w:r>
    </w:p>
    <w:p>
      <w:pPr>
        <w:pStyle w:val="FirstParagraph"/>
      </w:pPr>
      <w:r>
        <w:t xml:space="preserve">Same pattern as page 5 (vs Region Avg + Prior Period), but with marketing-flavored KPIs: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Leases (Actual)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 per Lease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Lead-to-Lease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Lead-to-Lease Conversion %</w:t>
            </w:r>
          </w:p>
        </w:tc>
      </w:tr>
    </w:tbl>
    <w:bookmarkEnd w:id="92"/>
    <w:bookmarkStart w:id="93" w:name="index-score-gpi-rank-cards-left-rail"/>
    <w:p>
      <w:pPr>
        <w:pStyle w:val="Heading2"/>
      </w:pPr>
      <w:r>
        <w:t xml:space="preserve">7.2 Index Score / GPI Rank Cards (left rail)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Index Score</w:t>
      </w:r>
      <w:r>
        <w:t xml:space="preserve"> </w:t>
      </w:r>
      <w:r>
        <w:t xml:space="preserve">— GPI score with star rating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GPI Rank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#5 of 30</w:t>
      </w:r>
      <w:r>
        <w:t xml:space="preserve"> </w:t>
      </w:r>
      <w:r>
        <w:t xml:space="preserve">(rank within region)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Top Measurement</w:t>
      </w:r>
      <w:r>
        <w:t xml:space="preserve"> </w:t>
      </w:r>
      <w:r>
        <w:t xml:space="preserve">— name of the strongest GPI component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Bottom Measurement</w:t>
      </w:r>
      <w:r>
        <w:t xml:space="preserve"> </w:t>
      </w:r>
      <w:r>
        <w:t xml:space="preserve">— name of the weakest GPI component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GPI Summary</w:t>
      </w:r>
      <w:r>
        <w:t xml:space="preserve"> </w:t>
      </w:r>
      <w:r>
        <w:t xml:space="preserve">— formatted string e.g. </w:t>
      </w:r>
      <w:r>
        <w:rPr>
          <w:rStyle w:val="VerbatimChar"/>
        </w:rPr>
        <w:t xml:space="preserve">GPI: 89 | Excellent | Abs: 95.0 / Trend: 80.3 | vs Portfolio: +0 pts</w:t>
      </w:r>
    </w:p>
    <w:p>
      <w:pPr>
        <w:pStyle w:val="FirstParagraph"/>
      </w:pPr>
      <w:r>
        <w:rPr>
          <w:bCs/>
          <w:b/>
        </w:rPr>
        <w:t xml:space="preserve">The GPI Summary string is the single most informative element on this page.</w:t>
      </w:r>
      <w:r>
        <w:t xml:space="preserve"> </w:t>
      </w:r>
      <w:r>
        <w:t xml:space="preserve">It shows: headline score, tier, both pillar scores, and the gap to portfolio in one line.</w:t>
      </w:r>
    </w:p>
    <w:p>
      <w:pPr>
        <w:pStyle w:val="BodyText"/>
      </w:pPr>
      <w:r>
        <w:rPr>
          <w:bCs/>
          <w:b/>
        </w:rPr>
        <w:t xml:space="preserve">DAX:</w:t>
      </w:r>
    </w:p>
    <w:p>
      <w:pPr>
        <w:pStyle w:val="SourceCode"/>
      </w:pPr>
      <w:r>
        <w:rPr>
          <w:rStyle w:val="VerbatimChar"/>
        </w:rPr>
        <w:t xml:space="preserve">GPI Summary =</w:t>
      </w:r>
      <w:r>
        <w:br/>
      </w:r>
      <w:r>
        <w:rPr>
          <w:rStyle w:val="VerbatimChar"/>
        </w:rPr>
        <w:t xml:space="preserve">"GPI: " &amp; FORMAT([GPI Score], "0") &amp;</w:t>
      </w:r>
      <w:r>
        <w:br/>
      </w:r>
      <w:r>
        <w:rPr>
          <w:rStyle w:val="VerbatimChar"/>
        </w:rPr>
        <w:t xml:space="preserve">" | " &amp; [GPI Tier] &amp;</w:t>
      </w:r>
      <w:r>
        <w:br/>
      </w:r>
      <w:r>
        <w:rPr>
          <w:rStyle w:val="VerbatimChar"/>
        </w:rPr>
        <w:t xml:space="preserve">" | Abs: " &amp; FORMAT([GPI Pillar 1 (Absolute)], "0.0") &amp;</w:t>
      </w:r>
      <w:r>
        <w:br/>
      </w:r>
      <w:r>
        <w:rPr>
          <w:rStyle w:val="VerbatimChar"/>
        </w:rPr>
        <w:t xml:space="preserve">" / Trend: " &amp; FORMAT([GPI Pillar 2 (Trend)], "0.0") &amp;</w:t>
      </w:r>
      <w:r>
        <w:br/>
      </w:r>
      <w:r>
        <w:rPr>
          <w:rStyle w:val="VerbatimChar"/>
        </w:rPr>
        <w:t xml:space="preserve">" | vs Portfolio: " &amp; </w:t>
      </w:r>
      <w:r>
        <w:br/>
      </w:r>
      <w:r>
        <w:rPr>
          <w:rStyle w:val="VerbatimChar"/>
        </w:rPr>
        <w:t xml:space="preserve">    IF([GPI vs Portfolio] &gt;= 0, "+", "") &amp; </w:t>
      </w:r>
      <w:r>
        <w:br/>
      </w:r>
      <w:r>
        <w:rPr>
          <w:rStyle w:val="VerbatimChar"/>
        </w:rPr>
        <w:t xml:space="preserve">    FORMAT([GPI vs Portfolio], "0") &amp; " pts"</w:t>
      </w:r>
    </w:p>
    <w:p>
      <w:pPr>
        <w:pStyle w:val="FirstParagraph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If Abs and Trend are within 5 points of each other, the property is</w:t>
      </w:r>
      <w:r>
        <w:t xml:space="preserve"> </w:t>
      </w:r>
      <w:r>
        <w:t xml:space="preserve">“</w:t>
      </w:r>
      <w:r>
        <w:t xml:space="preserve">Balanced</w:t>
      </w:r>
      <w:r>
        <w:t xml:space="preserve">”</w:t>
      </w:r>
      <w:r>
        <w:t xml:space="preserve"> </w:t>
      </w:r>
      <w:r>
        <w:t xml:space="preserve">— score is reliable. If one pillar is much higher than the other (e.g., Abs 90 / Trend 40), the property is being held up by either current performance or recent improvement, not both.</w:t>
      </w:r>
    </w:p>
    <w:bookmarkEnd w:id="93"/>
    <w:bookmarkStart w:id="94" w:name="lead-lease-volume-trend-combo"/>
    <w:p>
      <w:pPr>
        <w:pStyle w:val="Heading2"/>
      </w:pPr>
      <w:r>
        <w:t xml:space="preserve">7.3 Lead % Lease Volume Trend (Combo)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12-month combo — New Leases (Actual) bars, Visits (Actual) line, Leads line.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Watch for the three lines to move together. Diverging lines indicate a conversion-rate shift somewhere in the funnel.</w:t>
      </w:r>
    </w:p>
    <w:bookmarkEnd w:id="94"/>
    <w:bookmarkStart w:id="95" w:name="vacancy-sell-trend-multi-line"/>
    <w:p>
      <w:pPr>
        <w:pStyle w:val="Heading2"/>
      </w:pPr>
      <w:r>
        <w:t xml:space="preserve">7.4 Vacancy &amp; Sell Trend (Multi-Line)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12-month chart — Vacancy Fill (property) vs Vacancy Region Avg (dashed), Sell Rate (property) vs Sell Region Avg (dashed).</w:t>
      </w:r>
    </w:p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Solid lines should sit above the dashed lines for the property to outperform its region. Where solid drops below dashed, the property is lagging.</w:t>
      </w:r>
    </w:p>
    <w:bookmarkEnd w:id="95"/>
    <w:bookmarkStart w:id="96" w:name="trend-table-2"/>
    <w:p>
      <w:pPr>
        <w:pStyle w:val="Heading2"/>
      </w:pPr>
      <w:r>
        <w:t xml:space="preserve">7.5 Trend Table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Month-by-month — Index Score, Spend, New Leases, L2L, Cost per Lease, Vacancy Fill, Sell Rate.</w:t>
      </w:r>
    </w:p>
    <w:bookmarkEnd w:id="96"/>
    <w:bookmarkEnd w:id="97"/>
    <w:bookmarkStart w:id="103" w:name="cross-cutting-behaviors"/>
    <w:p>
      <w:pPr>
        <w:pStyle w:val="Heading1"/>
      </w:pPr>
      <w:r>
        <w:t xml:space="preserve">Cross-Cutting Behaviors</w:t>
      </w:r>
    </w:p>
    <w:bookmarkStart w:id="98" w:name="date-slicer-interaction"/>
    <w:p>
      <w:pPr>
        <w:pStyle w:val="Heading2"/>
      </w:pPr>
      <w:r>
        <w:t xml:space="preserve">Date Slicer Interaction</w:t>
      </w:r>
    </w:p>
    <w:p>
      <w:pPr>
        <w:pStyle w:val="FirstParagraph"/>
      </w:pPr>
      <w:r>
        <w:t xml:space="preserve">The date slicer at the top of pages 2, 3, and 4 controls all visuals on that page.</w:t>
      </w:r>
      <w:r>
        <w:t xml:space="preserve"> </w:t>
      </w:r>
      <w:r>
        <w:rPr>
          <w:bCs/>
          <w:b/>
        </w:rPr>
        <w:t xml:space="preserve">Two important behaviors: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Score measures (VPI, GPI, Ops Index)</w:t>
      </w:r>
      <w:r>
        <w:t xml:space="preserve"> </w:t>
      </w:r>
      <w:r>
        <w:t xml:space="preserve">apply the 30-day minimum window rule. Selecting</w:t>
      </w:r>
      <w:r>
        <w:t xml:space="preserve"> </w:t>
      </w:r>
      <w:r>
        <w:t xml:space="preserve">“</w:t>
      </w:r>
      <w:r>
        <w:t xml:space="preserve">Last 7 Days</w:t>
      </w:r>
      <w:r>
        <w:t xml:space="preserve">”</w:t>
      </w:r>
      <w:r>
        <w:t xml:space="preserve"> </w:t>
      </w:r>
      <w:r>
        <w:t xml:space="preserve">still scores against 30 days.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Volume measures (Spend, Leases, Impressions)</w:t>
      </w:r>
      <w:r>
        <w:t xml:space="preserve"> </w:t>
      </w:r>
      <w:r>
        <w:t xml:space="preserve">follow the slicer exactly. They reflect what’s selected.</w:t>
      </w:r>
    </w:p>
    <w:p>
      <w:pPr>
        <w:pStyle w:val="FirstParagraph"/>
      </w:pPr>
      <w:r>
        <w:t xml:space="preserve">This means a 7-day selection will show: real 7-day volumes, but 30-day-windowed scores. This is intentional and prevents misleading rankings on thin data.</w:t>
      </w:r>
    </w:p>
    <w:bookmarkEnd w:id="98"/>
    <w:bookmarkStart w:id="99" w:name="drill-through-filter-carry"/>
    <w:p>
      <w:pPr>
        <w:pStyle w:val="Heading2"/>
      </w:pPr>
      <w:r>
        <w:t xml:space="preserve">Drill-Through Filter Carry</w:t>
      </w:r>
    </w:p>
    <w:p>
      <w:pPr>
        <w:pStyle w:val="FirstParagraph"/>
      </w:pPr>
      <w:r>
        <w:t xml:space="preserve">When you drill from a portfolio page into a detail page (e.g., Geography → Geography Detail), only the Property filter carries forward. Date Range, Region, Market are reset to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. You can re-apply them on the detail page if needed.</w:t>
      </w:r>
    </w:p>
    <w:bookmarkEnd w:id="99"/>
    <w:bookmarkStart w:id="100" w:name="period-over-period-calculations"/>
    <w:p>
      <w:pPr>
        <w:pStyle w:val="Heading2"/>
      </w:pPr>
      <w:r>
        <w:t xml:space="preserve">Period-over-Period Calculations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Prior Period</w:t>
      </w:r>
      <w:r>
        <w:t xml:space="preserve">”</w:t>
      </w:r>
      <w:r>
        <w:t xml:space="preserve"> </w:t>
      </w:r>
      <w:r>
        <w:t xml:space="preserve">arrow on every KPI card uses an equal-length, immediately-preceding window. If the current period is</w:t>
      </w:r>
      <w:r>
        <w:t xml:space="preserve"> </w:t>
      </w:r>
      <w:r>
        <w:t xml:space="preserve">“</w:t>
      </w:r>
      <w:r>
        <w:t xml:space="preserve">This Quarter</w:t>
      </w:r>
      <w:r>
        <w:t xml:space="preserve">”</w:t>
      </w:r>
      <w:r>
        <w:t xml:space="preserve"> </w:t>
      </w:r>
      <w:r>
        <w:t xml:space="preserve">(Jan–Mar), the prior period is the prior quarter (Oct–Dec). If the current period is a custom 47-day range, the prior is the immediately-preceding 47 days.</w:t>
      </w:r>
    </w:p>
    <w:p>
      <w:pPr>
        <w:pStyle w:val="BodyText"/>
      </w:pPr>
      <w:r>
        <w:rPr>
          <w:bCs/>
          <w:b/>
        </w:rPr>
        <w:t xml:space="preserve">Edge case:</w:t>
      </w:r>
      <w:r>
        <w:t xml:space="preserve"> </w:t>
      </w:r>
      <w:r>
        <w:t xml:space="preserve">When the prior window resolves to a date before your data starts (e.g., comparing the first month of available data), the delta will be blank rather than misleadingly large.</w:t>
      </w:r>
    </w:p>
    <w:bookmarkEnd w:id="100"/>
    <w:bookmarkStart w:id="101" w:name="tie-handling-in-ranks"/>
    <w:p>
      <w:pPr>
        <w:pStyle w:val="Heading2"/>
      </w:pPr>
      <w:r>
        <w:t xml:space="preserve">Tie Handling in Ranks</w:t>
      </w:r>
    </w:p>
    <w:p>
      <w:pPr>
        <w:pStyle w:val="FirstParagraph"/>
      </w:pPr>
      <w:r>
        <w:t xml:space="preserve">Rank measures use</w:t>
      </w:r>
      <w:r>
        <w:t xml:space="preserve"> </w:t>
      </w:r>
      <w:r>
        <w:rPr>
          <w:bCs/>
          <w:b/>
        </w:rPr>
        <w:t xml:space="preserve">competition ranking</w:t>
      </w:r>
      <w:r>
        <w:t xml:space="preserve">: tied scores receive the same rank, and the next score skips ranks accordingly. Two vendors tied at #3 = both show #3, next is #5 (not #4).</w:t>
      </w:r>
    </w:p>
    <w:p>
      <w:pPr>
        <w:pStyle w:val="BodyText"/>
      </w:pPr>
      <w:r>
        <w:t xml:space="preserve">Some legacy rank measures use DENSE rank (no skipping); these are tagged</w:t>
      </w:r>
      <w:r>
        <w:t xml:space="preserve"> </w:t>
      </w:r>
      <w:r>
        <w:rPr>
          <w:rStyle w:val="VerbatimChar"/>
        </w:rPr>
        <w:t xml:space="preserve">_Fixed</w:t>
      </w:r>
      <w:r>
        <w:t xml:space="preserve"> </w:t>
      </w:r>
      <w:r>
        <w:t xml:space="preserve">in the measure name. Where both exist, the non-Fixed version is the production measure.</w:t>
      </w:r>
    </w:p>
    <w:bookmarkEnd w:id="101"/>
    <w:bookmarkStart w:id="102" w:name="coverage-ratio-operations-risk"/>
    <w:p>
      <w:pPr>
        <w:pStyle w:val="Heading2"/>
      </w:pPr>
      <w:r>
        <w:t xml:space="preserve">Coverage Ratio (Operations Risk)</w:t>
      </w:r>
    </w:p>
    <w:p>
      <w:pPr>
        <w:pStyle w:val="FirstParagraph"/>
      </w:pPr>
      <w:r>
        <w:t xml:space="preserve">Coverage ratio =</w:t>
      </w:r>
      <w:r>
        <w:t xml:space="preserve"> </w:t>
      </w:r>
      <w:r>
        <w:rPr>
          <w:rStyle w:val="VerbatimChar"/>
        </w:rPr>
        <w:t xml:space="preserve">ScheduledMoveIns_Next60D ÷ LeaseExpirations_Next60D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≥1.10</w:t>
      </w:r>
      <w:r>
        <w:t xml:space="preserve"> </w:t>
      </w:r>
      <w:r>
        <w:t xml:space="preserve">— Healthy, surplus pipeline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0.95–1.09</w:t>
      </w:r>
      <w:r>
        <w:t xml:space="preserve"> </w:t>
      </w:r>
      <w:r>
        <w:t xml:space="preserve">— OK, balanced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&lt;0.95</w:t>
      </w:r>
      <w:r>
        <w:t xml:space="preserve"> </w:t>
      </w:r>
      <w:r>
        <w:t xml:space="preserve">— Risk, expirations exceed scheduled move-ins</w:t>
      </w:r>
    </w:p>
    <w:p>
      <w:pPr>
        <w:pStyle w:val="FirstParagraph"/>
      </w:pPr>
      <w:r>
        <w:t xml:space="preserve">This drives the</w:t>
      </w:r>
      <w:r>
        <w:t xml:space="preserve"> </w:t>
      </w:r>
      <w:r>
        <w:t xml:space="preserve">“</w:t>
      </w:r>
      <w:r>
        <w:t xml:space="preserve">Coverage Risk</w:t>
      </w:r>
      <w:r>
        <w:t xml:space="preserve">”</w:t>
      </w:r>
      <w:r>
        <w:t xml:space="preserve"> </w:t>
      </w:r>
      <w:r>
        <w:t xml:space="preserve">callout on page 1, the</w:t>
      </w:r>
      <w:r>
        <w:t xml:space="preserve"> </w:t>
      </w:r>
      <w:r>
        <w:t xml:space="preserve">“</w:t>
      </w:r>
      <w:r>
        <w:t xml:space="preserve">Within SLA</w:t>
      </w:r>
      <w:r>
        <w:t xml:space="preserve">”</w:t>
      </w:r>
      <w:r>
        <w:t xml:space="preserve"> </w:t>
      </w:r>
      <w:r>
        <w:t xml:space="preserve">badge on page 5, and the</w:t>
      </w:r>
      <w:r>
        <w:t xml:space="preserve"> </w:t>
      </w:r>
      <w:r>
        <w:t xml:space="preserve">“</w:t>
      </w:r>
      <w:r>
        <w:t xml:space="preserve">Pipeline Coverage</w:t>
      </w:r>
      <w:r>
        <w:t xml:space="preserve">”</w:t>
      </w:r>
      <w:r>
        <w:t xml:space="preserve"> </w:t>
      </w:r>
      <w:r>
        <w:t xml:space="preserve">callout on page 2.</w:t>
      </w:r>
    </w:p>
    <w:bookmarkEnd w:id="102"/>
    <w:bookmarkEnd w:id="103"/>
    <w:bookmarkStart w:id="104" w:name="known-limitations-in-v1.0"/>
    <w:p>
      <w:pPr>
        <w:pStyle w:val="Heading1"/>
      </w:pPr>
      <w:r>
        <w:t xml:space="preserve">Known Limitations in v1.0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Funnel vs Actual reconciliation:</w:t>
      </w:r>
      <w:r>
        <w:t xml:space="preserve"> </w:t>
      </w:r>
      <w:r>
        <w:t xml:space="preserve">Some divergence between Funnel-stage measures (from</w:t>
      </w:r>
      <w:r>
        <w:t xml:space="preserve"> </w:t>
      </w:r>
      <w:r>
        <w:rPr>
          <w:rStyle w:val="VerbatimChar"/>
        </w:rPr>
        <w:t xml:space="preserve">fact_marketing_funnel_daily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fact_prospect_journey</w:t>
      </w:r>
      <w:r>
        <w:t xml:space="preserve">) and Actual measures (from</w:t>
      </w:r>
      <w:r>
        <w:t xml:space="preserve"> </w:t>
      </w:r>
      <w:r>
        <w:rPr>
          <w:rStyle w:val="VerbatimChar"/>
        </w:rPr>
        <w:t xml:space="preserve">fact_leasing_daily</w:t>
      </w:r>
      <w:r>
        <w:t xml:space="preserve">) is normal and reflects timing + multi-touch attribution differences. A reconciliation report is on the v1.1 roadmap.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Region averages unweighted:</w:t>
      </w:r>
      <w:r>
        <w:t xml:space="preserve"> </w:t>
      </w:r>
      <w:r>
        <w:t xml:space="preserve">Property-vs-region comparisons treat all properties equally regardless of unit count. A unit-weighted version is on the v1.1 roadmap.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Channel rollup uses spend-weighted VPI:</w:t>
      </w:r>
      <w:r>
        <w:t xml:space="preserve"> </w:t>
      </w:r>
      <w:r>
        <w:t xml:space="preserve">When viewing a Channel rather than a single Vendor, the displayed VPI is a spend-weighted average of vendor VPIs in that channel. This means a single high-spending vendor can dominate the channel score.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30-day window minimum applies to scores only:</w:t>
      </w:r>
      <w:r>
        <w:t xml:space="preserve"> </w:t>
      </w:r>
      <w:r>
        <w:t xml:space="preserve">Volume KPIs follow the date slicer literally, which can confuse users selecting tight date ranges. A future version will surface a</w:t>
      </w:r>
      <w:r>
        <w:t xml:space="preserve"> </w:t>
      </w:r>
      <w:r>
        <w:t xml:space="preserve">“</w:t>
      </w:r>
      <w:r>
        <w:t xml:space="preserve">Scoring Window:</w:t>
      </w:r>
      <w:r>
        <w:t xml:space="preserve"> </w:t>
      </w:r>
      <w:r>
        <w:t xml:space="preserve"> </w:t>
      </w:r>
      <w:r>
        <w:t xml:space="preserve">–</w:t>
      </w:r>
      <w:r>
        <w:t xml:space="preserve"> </w:t>
      </w:r>
      <w:r>
        <w:t xml:space="preserve">”</w:t>
      </w:r>
      <w:r>
        <w:t xml:space="preserve"> </w:t>
      </w:r>
      <w:r>
        <w:t xml:space="preserve">subtitle when the minimum kicks in.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No mobile layout in v1.0:</w:t>
      </w:r>
      <w:r>
        <w:t xml:space="preserve"> </w:t>
      </w:r>
      <w:r>
        <w:t xml:space="preserve">Dashboard is built for desktop / tablet (1920×1080). Mobile view is planned for v1.2.</w:t>
      </w:r>
    </w:p>
    <w:bookmarkEnd w:id="104"/>
    <w:bookmarkStart w:id="105" w:name="glossary"/>
    <w:p>
      <w:pPr>
        <w:pStyle w:val="Heading1"/>
      </w:pPr>
      <w:r>
        <w:t xml:space="preserve">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Attributed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lease where the prospect’s journey can be traced to one or more vendor touches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move-ins ÷ lease expirations over the next 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Lead = Marketing Spend ÷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per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Spend ÷ New 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Dense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method where ties get the same rank and the next rank is consecutive (1, 2, 2,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Competition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method where ties get the same rank but next rank skips (1, 2, 2,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Funnel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Awareness, Consideration, Evaluation,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Performance Index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Lead-to-Lease conversion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Pillar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GPI score is led by Absolute pillar, Trend pillar, or Balanced (within 5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Property-level operational health score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— operational threshold a property must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Leases ÷ Available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Vacancy Fill %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vacant units filled in the trailing 30-day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Vacant Ready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Vacant units ready to lease ÷ total vacant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Performance Index (0–100)</w:t>
            </w:r>
          </w:p>
        </w:tc>
      </w:tr>
    </w:tbl>
    <w:bookmarkEnd w:id="105"/>
    <w:bookmarkStart w:id="106" w:name="support"/>
    <w:p>
      <w:pPr>
        <w:pStyle w:val="Heading1"/>
      </w:pPr>
      <w:r>
        <w:t xml:space="preserve">Support</w:t>
      </w:r>
    </w:p>
    <w:p>
      <w:pPr>
        <w:pStyle w:val="FirstParagraph"/>
      </w:pPr>
      <w:r>
        <w:t xml:space="preserve">For data discrepancies, raise a ticket in the Analytics queue with the page name, visual name, screenshot, and your filter selections. For DAX-level questions, see the full measure documentation in</w:t>
      </w:r>
      <w:r>
        <w:t xml:space="preserve"> </w:t>
      </w:r>
      <w:r>
        <w:rPr>
          <w:rStyle w:val="VerbatimChar"/>
        </w:rPr>
        <w:t xml:space="preserve">VPI_Documentation_v2.docx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MAA_All_Measures_Current.tsv</w:t>
      </w:r>
      <w:r>
        <w:t xml:space="preserve"> </w:t>
      </w:r>
      <w:r>
        <w:t xml:space="preserve">measure inventory in the project repository.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NorthStar Residential Group · Marketing Analytics · v1.0 · April 2026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38" Target="media/rId38.jpg" /><Relationship Type="http://schemas.openxmlformats.org/officeDocument/2006/relationships/image" Id="rId49" Target="media/rId49.jpg" /><Relationship Type="http://schemas.openxmlformats.org/officeDocument/2006/relationships/image" Id="rId60" Target="media/rId60.jpg" /><Relationship Type="http://schemas.openxmlformats.org/officeDocument/2006/relationships/image" Id="rId71" Target="media/rId71.jpg" /><Relationship Type="http://schemas.openxmlformats.org/officeDocument/2006/relationships/image" Id="rId80" Target="media/rId80.jpg" /><Relationship Type="http://schemas.openxmlformats.org/officeDocument/2006/relationships/image" Id="rId89" Target="media/rId8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Marketing Analytics Dashboard</dc:title>
  <dc:creator>NorthStar Residential Group</dc:creator>
  <cp:keywords/>
  <dcterms:created xsi:type="dcterms:W3CDTF">2026-04-17T21:50:49Z</dcterms:created>
  <dcterms:modified xsi:type="dcterms:W3CDTF">2026-04-17T21:50:49Z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Release Notes — v1.0</vt:lpwstr>
  </property>
</Properties>
</file>