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NorthStar Residential Group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Portfolio Health Index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BD5E1"/>
                <w:sz w:val="26"/>
                <w:szCs w:val="26"/>
              </w:rPr>
              <w:t xml:space="preserve">Technical Reference &amp; Narrative Guide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Version 1.0  |  April 2026</w:t>
            </w:r>
          </w:p>
        </w:tc>
      </w:tr>
    </w:tbl>
    <w:p>
      <w:pPr>
        <w:spacing w:after="40" w:before="4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1. The Story — Where the PHI Fits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Portfolio Health Index (PHI) is the fourth and final composite score in the NorthStar model. It provides the most complete single-number summary of portfolio performance by combining operational health, vendor-driven marketing efficiency, and actual leasing outcomes into one 0–100 score.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Where the other three indexes each isolate a specific lens — the Operations Index measures property-level operational fitness, the VPI measures vendor effectiveness, and the GPI measures geographic performance over time — the PHI synthesizes all three performance domains into a unified view. It is the score a portfolio leader looks at first to understand whether the portfolio as a whole is healthy.</w:t>
      </w:r>
    </w:p>
    <w:p>
      <w:pPr>
        <w:spacing w:after="10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1.1 The Four-Index Model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NorthStar index uses a different normalization philosophy suited to the question it answers: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Question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Operations Index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absolute ranges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this property operationally healthy vs a fixed standard?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Benchmark credit vs selected-period portfolio average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Are vendors performing vs the portfolio's current standard?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Prior-year benchmark + period-over-period trend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this geography stable and improving vs its own history?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 Health Index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absolute ranges (Ops Index pattern)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the full portfolio performing well across operations, marketing, and outcomes?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PHI uses fixed absolute ranges — the same normalization philosophy as the Operations Index. This was a deliberate choice: the PHI is designed to tell an absolute truth about portfolio health, not a relative one. A portfolio can be improving vs last year (GPI rising) while still being below the absolute performance standard the PHI enforces.</w:t>
      </w:r>
    </w:p>
    <w:p>
      <w:pPr>
        <w:spacing w:after="10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1.2 What PHI Is Designed to Detect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Portfolio-wide operational weakness even when individual property scores look reasonable in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Marketing funnel inefficiency — high spend not converting to visits, leads, or leases at a healthy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Disconnects between vendor-attributed outcomes and actual recorded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Overall portfolio trajectory — is the combination of operations + marketing + outcomes trending in the right direction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6"/>
              <w:bottom w:val="single" w:color="E5E7EB" w:sz="1"/>
              <w:right w:val="single" w:color="E5E7EB" w:sz="1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Design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PHI is not a ranking system and it does not compare properties against each other. Every metric is scored against a fixed floor and ceiling derived from the portfolio's own realistic data distribution — rounded to business-friendly numbers. A score of 75 means the portfolio is performing at 75% of the defined excellent standard on a weighted basis. This score is stable and interpretable regardless of how many properties are in the portfolio or what other vendors are doing.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2. Architecture — Three Pillars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PHI is organized around three pillars that mirror the three operational domains of a multifamily portfolio. Each pillar owns a distinct set of five metrics and contributes a weighted share to the master composite score.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Portfolio Health Index =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(Portfolio Health - Operations    × 0.35)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(Portfolio Health - Marketing Funnel × 0.35)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(Portfolio Health - Geo Marketing  × 0.30)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Weight-adaptive: if one pillar is blank, remaining weights renormalize.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All three blank = BLANK.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Operations and Marketing Funnel carry equal weight (35% each) because they are the two direct performance engines of a leasing operation — one drives supply readiness, the other drives demand generation and conversion. Geo Marketing carries 30% because it reflects actual recorded outcomes rather than attributed or estimated ones, and is one layer removed from the direct performance levers.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Pillar 1 — Operations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Occupancy, velocity, absorption, and net unit flow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Pillar 2 — Marketing Funnel (Vendor)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Vendor-attributed leads, visits, leases, and costs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Pillar 3 — Geo Marketing (Actual)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Recorded actual outcomes — leases, sell rate, CPL, SLA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3. Pillar 1 — Operations (35%)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1 answers: Is the portfolio operationally ready to convert demand into occupancy? It uses the same four core operational metrics as the Operations Index, scored against the same fixed absolute ranges. A portfolio absorbing units quickly, maintaining high occupancy, and generating consistent net positive unit flow scores well here regardless of how marketing is performing.</w:t>
      </w:r>
    </w:p>
    <w:p>
      <w:pPr>
        <w:spacing w:after="10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3.1 Component Reference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23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Measure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 Floor → Ceiling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Occupancy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[Occupancy Rate %]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9"/>
                <w:szCs w:val="19"/>
              </w:rPr>
              <w:t xml:space="preserve">↑ Higher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50% → 95%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Lease Velocity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[Lease Velocity]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9"/>
                <w:szCs w:val="19"/>
              </w:rPr>
              <w:t xml:space="preserve">↑ Higher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0.02 → 0.20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Absorption Days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[Absorption Days (Est)]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97316"/>
                <w:sz w:val="19"/>
                <w:szCs w:val="19"/>
              </w:rPr>
              <w:t xml:space="preserve">↓ Lower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15 → 90 days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Net Absorption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[Net Absorption] / [Total Units]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9"/>
                <w:szCs w:val="19"/>
              </w:rPr>
              <w:t xml:space="preserve">↑ Higher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−10% → +10% of units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25%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6"/>
              <w:bottom w:val="single" w:color="E5E7EB" w:sz="1"/>
              <w:right w:val="single" w:color="E5E7EB" w:sz="1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Range Source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four Pillar 1 ranges are taken directly from the Operations Index component measures — the same values that have been validated and in production. Occupancy: 50%–95%. Absorption Days: 15–90. Lease Velocity: 0.02–0.20. Net Absorption: −10% to +10% of total units. These ranges are stable and do not need recalibration.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3.2 Scoring Pattern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component uses the Ops Index normalization pattern — linear interpolation between floor and ceiling, clamped at 0 and 100: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Higher is better: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Score = MIN(MAX((Value - Floor) / (Ceiling - Floor)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Lower is better (inverted):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Score = MIN(MAX((1 - (Value - Floor) / (Ceiling - Floor)) * 100, 0), 100)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3.3 Full DAX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Portfolio Health - Operations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OccRate  = [Occupancy Rate %]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AbsDays  = [Absorption Days (Est)]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Velocity = [Lease Velocity]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NetAbs   = DIVIDE([Net Absorption], [Total Units],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Occupancy Rate: 50% → 95%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s_occ = MIN(MAX((OccRate  - 0.50) / (0.95 - 0.50)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Absorption Days: 15 → 90 (inverted — lower is better)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s_abs = MIN(MAX((1 - (AbsDays - 15) / (90 - 15))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Lease Velocity: 0.02 → 0.20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s_vel = MIN(MAX((Velocity - 0.02) / (0.20 - 0.02)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Net Absorption: -10% → +10% of total units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s_net = MIN(MAX((NetAbs - (-0.10)) / (0.10 - (-0.10))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Pillar1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s_occ * 0.25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s_abs * 0.25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s_vel * 0.25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s_net * 0.25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ISBLANK(OccRate) || ISBLANK(AbsDays) || ISBLANK(Velocity),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BLANK(),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Pillar1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4. Pillar 2 — Marketing Funnel / Vendor (35%)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2 answers: Is vendor-driven marketing generating demand efficiently and converting it to leases? It reads from vendor-attributed and funnel-table metrics — the same data that powers the VPI — but scores them against fixed absolute ranges rather than benchmark credits. This means a portfolio with universally poor vendor performance cannot mask it through relative comparison.</w:t>
      </w:r>
    </w:p>
    <w:p>
      <w:pPr>
        <w:spacing w:after="10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4.1 Component Reference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23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Measure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 Floor → Ceiling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Lead-to-Lease % (Vendor)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[Lead-to-Lease % (Funnel)]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9"/>
                <w:szCs w:val="19"/>
              </w:rPr>
              <w:t xml:space="preserve">↑ Higher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3% → 15%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Cost per Lease (Vendor)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[Cost per Lease (Vendor)]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97316"/>
                <w:sz w:val="19"/>
                <w:szCs w:val="19"/>
              </w:rPr>
              <w:t xml:space="preserve">↓ Lower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$150 → $2,000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New Leases (Vendor)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[New Leases (Funnel)]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9"/>
                <w:szCs w:val="19"/>
              </w:rPr>
              <w:t xml:space="preserve">↑ Higher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0 → 2,000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Cost per Visit (Vendor)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[Cost per Visit (Vendor)]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97316"/>
                <w:sz w:val="19"/>
                <w:szCs w:val="19"/>
              </w:rPr>
              <w:t xml:space="preserve">↓ Lower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$5 → $50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Visits (Funnel)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[Visits (Funnel)]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9"/>
                <w:szCs w:val="19"/>
              </w:rPr>
              <w:t xml:space="preserve">↑ Higher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1,000 → 50,000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15%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6"/>
              <w:bottom w:val="single" w:color="E5E7EB" w:sz="1"/>
              <w:right w:val="single" w:color="E5E7EB" w:sz="1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Range Calibration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Ranges for Pillar 2 were derived from the PHI Range Audit measure run across all 120 properties. Raw data showed: L2L (Vendor) 4.4%–13.5%, CPL (Vendor) $109–$8,897, New Leases (Vendor) 10–4,051, CPV $5.02–$47.63, Visits 1,627–87,953. Ranges were rounded to business-friendly numbers and ceilings were capped below outlier extremes ($8,897 CPL → $2,000 ceiling; 87,953 visits → 50,000 ceiling) to prevent outlier properties from distorting the score distribution.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4.2 Full DAX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Portfolio Health - Marketing Funnel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L2L_V  = [Lead-to-Lease % (Funnel)]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CPL_V  = [Cost per Lease (Vendor)]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NL_V   = [New Leases (Funnel)]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CPV_V  = [Cost per Visit (Vendor)]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Visits = [Visits (Funnel)]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Lead-to-Lease % (Vendor): 3% → 15%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s_l2l = MIN(MAX((L2L_V - 0.03) / (0.15 - 0.03)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Cost per Lease (Vendor): $2,000 → $150 (inverted)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s_cpl = MIN(MAX((1 - (CPL_V - 150) / (2000 - 150))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New Leases (Vendor): 0 → 2,000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s_nl  = MIN(MAX((NL_V - 0) / (2000 - 0)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Cost per Visit (Vendor): $50 → $5 (inverted)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s_cpv = MIN(MAX((1 - (CPV_V - 5) / (50 - 5))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Visits (Funnel): 1,000 → 50,000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s_vis = MIN(MAX((Visits - 1000) / (50000 - 1000)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Pillar2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s_l2l * 0.25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s_cpl * 0.25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s_nl  * 0.20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s_cpv * 0.15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s_vis * 0.15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ISBLANK(L2L_V) || ISBLANK(CPL_V) || ISBLANK(Visits),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BLANK(),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Pillar2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5. Pillar 3 — Geo Marketing / Actual (30%)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3 answers: Are the actual recorded leasing outcomes — not vendor-attributed, not modeled — reflecting healthy portfolio performance? It uses fact_leasing_daily as its primary source, which represents what actually happened in the portfolio: leases signed, cost per lease paid, sell rate achieved, and SLA compliance maintained.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pillar serves as the ground truth check on Pillar 2. A portfolio can show strong vendor-attributed numbers while actual recorded outcomes underperform — Pillar 3 surfaces that gap. When both Pillar 2 and Pillar 3 score well, it confirms that vendor performance is translating into real outcomes.</w:t>
      </w:r>
    </w:p>
    <w:p>
      <w:pPr>
        <w:spacing w:after="10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5.1 Component Reference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23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Measure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 Floor → Ceiling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Cost per Lease (Actual)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[Cost per Lease (Actual)]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97316"/>
                <w:sz w:val="19"/>
                <w:szCs w:val="19"/>
              </w:rPr>
              <w:t xml:space="preserve">↓ Lower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$150 → $2,000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Sell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[Sell Rate]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9"/>
                <w:szCs w:val="19"/>
              </w:rPr>
              <w:t xml:space="preserve">↑ Higher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2% → 50%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Lead-to-Lease % (Actual)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[Lead-to-Lease % (Actual)]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9"/>
                <w:szCs w:val="19"/>
              </w:rPr>
              <w:t xml:space="preserve">↑ Higher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0% → 15%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New Leases (Actual)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[New Leases (Actual)]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9"/>
                <w:szCs w:val="19"/>
              </w:rPr>
              <w:t xml:space="preserve">↑ Higher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200 → 4,000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SLA Marketing 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[Properties Within Marketing SLA %]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9"/>
                <w:szCs w:val="19"/>
              </w:rPr>
              <w:t xml:space="preserve">↑ Higher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7"/>
                <w:szCs w:val="17"/>
              </w:rPr>
              <w:t xml:space="preserve">0% → 100%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15%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6"/>
              <w:bottom w:val="single" w:color="E5E7EB" w:sz="1"/>
              <w:right w:val="single" w:color="E5E7EB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Actual vs Vendor — The Difference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Pillar 2 reads from fact_marketing_funnel_daily and fact_prospect_journey — vendor-attributed data. Pillar 3 reads from fact_leasing_daily — actual recorded data. Cost per Lease (Vendor) in Pillar 2 divides marketing spend by attributed leases from the funnel. Cost per Lease (Actual) in Pillar 3 divides marketing spend by actual new leases from operations. The gap between these two pillars is diagnostically significant: a wide gap signals attribution coverage or funnel calibration issues.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5.2 Full DAX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Portfolio Health - Geo Marketing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CPL_A = [Cost per Lease (Actual)]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SR    = [Sell Rate]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L2L_A = [Lead-to-Lease % (Actual)]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NL_A  = [New Leases (Actual)]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SLA_M = [Properties Within Marketing SLA %]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Cost per Lease (Actual): $2,000 → $150 (inverted)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s_cpl = MIN(MAX((1 - (CPL_A - 150) / (2000 - 150))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Sell Rate: 2% → 50%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s_sr  = MIN(MAX((SR - 0.02) / (0.50 - 0.02)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Lead-to-Lease % (Actual): 0% → 15%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s_l2l = MIN(MAX((L2L_A - 0) / (0.15 - 0)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New Leases (Actual): 200 → 4,000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s_nl  = MIN(MAX((NL_A - 200) / (4000 - 200)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SLA Marketing %: 0% → 100%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s_sla = MIN(MAX((SLA_M - 0) / (1.0 - 0) * 100, 0),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Pillar3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s_cpl * 0.25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s_sr  * 0.20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s_l2l * 0.20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s_nl  * 0.20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s_sla * 0.15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ISBLANK(CPL_A) || ISBLANK(SR) || ISBLANK(L2L_A),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BLANK(),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Pillar3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6. Master Score — Portfolio Health Index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Portfolio Health Index is the weighted composite of all three pillars. It uses a weight-adaptive pattern so that if one pillar is blank — for example, a property with no marketing funnel data — the remaining pillar weights renormalize to sum to 100% rather than leaving the score artificially deflated.</w:t>
      </w:r>
    </w:p>
    <w:p>
      <w:pPr>
        <w:spacing w:after="10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6.1 Full DAX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Portfolio Health Index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P1 = [Portfolio Health - Operations]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P2 = [Portfolio Health - Marketing Funnel]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P3 = [Portfolio Health - Geo Marketing]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TotalWeight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IF(NOT ISBLANK(P1), 0.35, 0)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IF(NOT ISBLANK(P2), 0.35, 0)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IF(NOT ISBLANK(P3), 0.30,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WeightedSum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IF(ISBLANK(P1), 0, P1 * 0.35)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IF(ISBLANK(P2), 0, P2 * 0.35)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IF(ISBLANK(P3), 0, P3 * 0.30)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TotalWeight =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BLANK(),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DIVIDE(WeightedSum, TotalWeight)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6.2 Supporting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Portfolio Health Index (Portfolio)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AVERAGEX(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VALUES(dim_property[PropertyKey]),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[Portfolio Health Index]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Returns the portfolio-wide average PHI score.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Used as the benchmark line on KPI cards and visuals.</w:t>
            </w:r>
          </w:p>
        </w:tc>
      </w:tr>
    </w:tbl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Portfolio Health (Stars)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 Score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AVERAGEX(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VALUES(dim_property[PropertyKey]),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[Portfolio Health Index]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ISBLANK(Score), BLANK(),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SWITCH(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TRUE(),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Score &gt;= 90, FORMAT(Score, "0.0") &amp; "  ★★★★★",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Score &gt;= 74, FORMAT(Score, "0.0") &amp; "  ★★★★☆",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Score &gt;= 58, FORMAT(Score, "0.0") &amp; "  ★★★☆☆",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Score &gt;= 43, FORMAT(Score, "0.0") &amp; "  ★★☆☆☆",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FORMAT(Score, "0.0") &amp; "  ★☆☆☆☆"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Portfolio Health Pillar Value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SWITCH(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SELECTEDVALUE('Table Health_Pillars'[Pillar]),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"Operations",       [Portfolio Health - Operations],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"Marketing Funnel", [Portfolio Health - Marketing Funnel],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"Geo Marketing",    [Portfolio Health - Geo Marketing]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Powers the pillar bar chart visual via a disconnected slicer table.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Table Health_Pillars must contain: Operations, Marketing Funnel, Geo Marketing.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7. Calibrated Ranges Reference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ranges in the PHI use the fixed absolute range pattern. The table below documents every range, its source, and the rationale for the floor and ceiling values.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 (Score 0)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Ceiling (Score 100)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Occupancy Rate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50%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95%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Ops Index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Industry-standard multifamily distress vs excellent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Absorption Days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90 days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days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Ops Index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Inverted — 15 days = excellent, 90 = distressed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Lease Velocity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Ops Index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lease pace normalized to total units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 Absorption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-10% of units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+10% of units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Ops Index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Inverted net unit flow normalized to portfolio size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L2L % (Vendor)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3%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Audit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Raw: 4.4%–13.5%. Rounded outward for headroom.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CPL (Vendor)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$2,000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$150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Audit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Raw: $109–$8,897. $8,897 capped at $2,000 (outlier).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Leases (Vendor)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Audit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Raw: 10–4,051. Capped at 2,000.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CPV (Vendor)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$50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Audit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Raw: $5.02–$47.63. Rounded to $5–$50.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Visits (Funnel)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50,000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Audit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Raw: 1,627–87,953. Capped at 50,000.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CPL (Actual)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$2,000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$150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Audit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Aligned to CPL Vendor ceiling for consistency.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Sell Rate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2%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Audit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Raw: 2.5%–45.7%. Rounded outward.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L2L % (Actual)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Audit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Raw: 0.7%–12.0%. Ceiling set to 15% matching vendor.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Leases (Actual)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4,000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Audit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Raw: 220–4,224. Rounded to clean business numbers.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 Marketing 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Audit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compliance range — no adjustment needed.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6"/>
              <w:bottom w:val="single" w:color="E5E7EB" w:sz="1"/>
              <w:right w:val="single" w:color="E5E7EB" w:sz="1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Range Stability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These ranges should not be recalculated on every data refresh. They are business-defined performance bands, not statistical bounds. Only adjust a range if 70%+ of properties are clustering at 0 or 100 (range too tight) or if scores show almost no variation (range too wide). Treat adjustments as a deliberate model decision, not a routine maintenance task.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8. Measures Catalog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Portfolio Health Index measures are organized under folder 05 - Portfolio Health.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5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360"/>
            <w:gridSpan w:val="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5.1 — Components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A3A"/>
                <w:sz w:val="17"/>
                <w:szCs w:val="17"/>
              </w:rPr>
              <w:t xml:space="preserve">Portfolio Health Pillar Value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SWITCH on disconnected Table Health_Pillars — routes to the correct pillar measure based on slicer selection. Used in bar chart visual.</w:t>
            </w:r>
          </w:p>
        </w:tc>
      </w:tr>
      <w:tr>
        <w:tc>
          <w:tcPr>
            <w:tcW w:type="dxa" w:w="9360"/>
            <w:gridSpan w:val="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5.2 — KPI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A3A"/>
                <w:sz w:val="17"/>
                <w:szCs w:val="17"/>
              </w:rPr>
              <w:t xml:space="preserve">Portfolio Health - Operations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Pillar 1 composite. Weighted average of 4 operational metrics. Output: 0–100.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A3A"/>
                <w:sz w:val="17"/>
                <w:szCs w:val="17"/>
              </w:rPr>
              <w:t xml:space="preserve">Portfolio Health - Marketing Funnel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Pillar 2 composite. Weighted average of 5 vendor/funnel metrics. Output: 0–100.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A3A"/>
                <w:sz w:val="17"/>
                <w:szCs w:val="17"/>
              </w:rPr>
              <w:t xml:space="preserve">Portfolio Health - Geo Marketing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Pillar 3 composite. Weighted average of 5 actual marketing metrics. Output: 0–100.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A3A"/>
                <w:sz w:val="17"/>
                <w:szCs w:val="17"/>
              </w:rPr>
              <w:t xml:space="preserve">Portfolio Health Index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Master composite. P1×0.35 + P2×0.35 + P3×0.30. Weight-adaptive blank handling. Output: 0–100.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A3A"/>
                <w:sz w:val="17"/>
                <w:szCs w:val="17"/>
              </w:rPr>
              <w:t xml:space="preserve">Portfolio Health Index (Portfolio)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AVERAGEX of Portfolio Health Index across all properties — portfolio-level benchmark.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A3A"/>
                <w:sz w:val="17"/>
                <w:szCs w:val="17"/>
              </w:rPr>
              <w:t xml:space="preserve">Portfolio Health (Stars)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Portfolio average PHI formatted with star rating for compact display.</w:t>
            </w:r>
          </w:p>
        </w:tc>
      </w:tr>
      <w:tr>
        <w:tc>
          <w:tcPr>
            <w:tcW w:type="dxa" w:w="9360"/>
            <w:gridSpan w:val="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5.3.3 — Color &amp; Formatting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A3A"/>
                <w:sz w:val="17"/>
                <w:szCs w:val="17"/>
              </w:rPr>
              <w:t xml:space="preserve">Portfolio Health Bar Color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Hex color for pillar bar visual conditional formatting. 4 bands from gold to dark gold.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9. Data Dependencies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Pillar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fact_property_ops_daily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Pillar 1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Occupancy Rate, Absorption Days, Net Absorption, Lease Velocity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fact_leasing_daily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Pillar 1 + Pillar 3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Lease Velocity, New Leases (Actual), Sell Rate, L2L % (Actual)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fact_marketing_spend_daily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Pillar 2 + Pillar 3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Marketing Spend (denominator for CPL, CPV)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fact_marketing_funnel_daily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Pillar 2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Leases (Funnel), Visits (Funnel), L2L % (Funnel)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fact_prospect_journey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Pillar 2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 per Lease (Vendor), Cost per Visit (Vendor) via USERELATIONSHIP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dim_property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pillars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Units (Net Absorption denominator), PropertyKey (AVERAGEX rollup)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10. Version Notes</w:t>
      </w:r>
    </w:p>
    <w:p>
      <w:pPr>
        <w:pStyle w:val="Heading2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A3A"/>
          <w:sz w:val="26"/>
          <w:szCs w:val="26"/>
        </w:rPr>
        <w:t xml:space="preserve">Version 1.0 — April 2026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redesign from original PHI. Key changes from the previous 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1 renamed from Occupancy Health to Operations — now mirrors the Operations Index component set (Occupancy, Absorption, Lease Velocity, Net Absorption) with equal 25% weights. SLA Exposure % was removed after the range audit showed it returned a flat single value across all properties, making it unusable as a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2 renamed from Leasing Efficiency to Marketing Funnel (Vendor) — now uses vendor-attributed and funnel-table metrics: Lead-to-Lease % (Funnel), Cost per Lease (Vendor), New Leases (Funnel), Cost per Visit (Vendor), Visits (Funnel). Weights: 25/25/20/15/15.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3 renamed from Demand Conversion to Geo Marketing (Actual) — now uses actual recorded outcomes from fact_leasing_daily: Cost per Lease (Actual), Sell Rate, Lead-to-Lease % (Actual), New Leases (Actual), SLA Marketing %. Weights: 25/20/20/20/15.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Master score made weight-adaptive — if one pillar is blank, remaining weights renormalize rather than deflating the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Ranges for Pillar 2 and Pillar 3 derived from PHI Range Audit measure run across 120 properties, rounded to business-friendly numbers, with outlier ceilings applied to CPL (Vendor) and Visits (Funnel).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Portfolio Health Pillar Value SWITCH updated to new pillar names — requires Table Health_Pillars disconnected table to be updated to: Operations, Marketing Funnel, Geo Marketing.</w:t>
      </w:r>
    </w:p>
    <w:p>
      <w:pPr>
        <w:spacing w:after="100" w:before="2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spacing w:after="80" w:before="0"/>
    </w:pPr>
    <w:r>
      <w:rPr>
        <w:rFonts w:ascii="Arial" w:cs="Arial" w:eastAsia="Arial" w:hAnsi="Arial"/>
        <w:color w:val="9CA3AF"/>
        <w:sz w:val="18"/>
        <w:szCs w:val="18"/>
      </w:rPr>
      <w:t xml:space="preserve">NorthStar Residential  |  Portfolio Health Index —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A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2026-04-14T12:58:23.184Z</dcterms:created>
  <dcterms:modified xsi:type="dcterms:W3CDTF">2026-04-14T12:58:23.185Z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