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rPr>
          <w:rFonts w:ascii="Calibri" w:cs="Calibri" w:eastAsia="Calibri" w:hAnsi="Calibri"/>
          <w:b/>
          <w:bCs/>
          <w:color w:val="D4AF37"/>
          <w:sz w:val="22"/>
          <w:szCs w:val="22"/>
        </w:rPr>
        <w:t xml:space="preserve">NorthStar Residential Group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F3864"/>
          <w:sz w:val="44"/>
          <w:szCs w:val="44"/>
        </w:rPr>
        <w:t xml:space="preserve">Executive Dark Theme — Style Guide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6B7280"/>
          <w:sz w:val="22"/>
          <w:szCs w:val="22"/>
        </w:rPr>
        <w:t xml:space="preserve">Power BI Theme: Northstar Executive Dark — Updated</w:t>
      </w:r>
    </w:p>
    <w:p>
      <w:pPr>
        <w:spacing w:after="240" w:before="0"/>
      </w:pPr>
      <w:r>
        <w:rPr>
          <w:rFonts w:ascii="Calibri" w:cs="Calibri" w:eastAsia="Calibri" w:hAnsi="Calibri"/>
          <w:color w:val="9AA0AA"/>
          <w:sz w:val="20"/>
          <w:szCs w:val="20"/>
        </w:rPr>
        <w:t xml:space="preserve">Version 1.0 · Generated from latesttheme.json</w:t>
      </w:r>
    </w:p>
    <w:p>
      <w:pPr>
        <w:pBdr>
          <w:bottom w:val="single" w:color="D4AF37" w:sz="12" w:space="4"/>
        </w:pBdr>
        <w:spacing w:after="240" w:before="0"/>
      </w:pPr>
      <w:r>
        <w:t xml:space="preserve"/>
      </w:r>
    </w:p>
    <w:p>
      <w:pPr>
        <w:pStyle w:val="Heading1"/>
        <w:spacing w:after="140" w:before="300"/>
      </w:pPr>
      <w:r>
        <w:rPr>
          <w:rFonts w:ascii="Calibri" w:cs="Calibri" w:eastAsia="Calibri" w:hAnsi="Calibri"/>
        </w:rPr>
        <w:t xml:space="preserve">1. Overview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This style guide documents the visual design system for NorthStar Residential Group's executive reporting in Power BI. The theme is a dark-mode palette anchored on a near-black background with gold as the primary accent, silver as the secondary, and carefully scoped status colors for performance signaling.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Use this guide when: (1) building new Power BI reports against this theme, (2) designing companion materials (decks, one-pagers, print exports) that need to match the dashboards, or (3) extending the palette to new visual types.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</w:rPr>
        <w:t xml:space="preserve">Design Principles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Legibility first — contrast ratios target executive readability on both screen and projector.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Gold signals value — the primary gold (#D4AF37) is reserved for the most important data series, headers, and titles. Do not overuse it.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Dark canvas — the near-black background (#0F1115) creates focus and reduces eye fatigue on long-session reviews.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Restrained status color — green, red, and burgundy are used only for true performance encoding, never decoratively.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Typographic consistency — DIN is the display face; Calibri/Arial is acceptable fallback for environments without DIN licensed.</w:t>
      </w:r>
    </w:p>
    <w:p>
      <w:pPr>
        <w:pStyle w:val="Heading1"/>
        <w:spacing w:after="140" w:before="300"/>
      </w:pPr>
      <w:r>
        <w:rPr>
          <w:rFonts w:ascii="Calibri" w:cs="Calibri" w:eastAsia="Calibri" w:hAnsi="Calibri"/>
        </w:rPr>
        <w:t xml:space="preserve">2. Core Colors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The canvas, surface, and accent colors form the backbone of every visual. These should not be substituted.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700"/>
        <w:gridCol w:w="1700"/>
        <w:gridCol w:w="37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D4AF37"/>
                <w:sz w:val="22"/>
                <w:szCs w:val="22"/>
              </w:rPr>
              <w:t xml:space="preserve">Role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D4AF37"/>
                <w:sz w:val="22"/>
                <w:szCs w:val="22"/>
              </w:rPr>
              <w:t xml:space="preserve">Hex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D4AF37"/>
                <w:sz w:val="22"/>
                <w:szCs w:val="22"/>
              </w:rPr>
              <w:t xml:space="preserve">Preview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D4AF37"/>
                <w:sz w:val="22"/>
                <w:szCs w:val="22"/>
              </w:rPr>
              <w:t xml:space="preserve">Usage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Background (Canvas)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#0F1115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111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</w:rPr>
              <w:t xml:space="preserve">#0F1115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Primary page and visual background. Near-black with a subtle blue cast.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Surface (Alt Row)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#1A1D23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1D2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</w:rPr>
              <w:t xml:space="preserve">#1A1D23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Alternating row fill in tables and matrices; secondary card background.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Primary Accent (Gold)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#D4AF37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AF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00000"/>
                <w:sz w:val="20"/>
                <w:szCs w:val="20"/>
              </w:rPr>
              <w:t xml:space="preserve">#D4AF37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Headers, titles, primary data series, table header fill, KPI emphasis.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Secondary Accent (Silver)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#C0C0C0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0C0C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00000"/>
                <w:sz w:val="20"/>
                <w:szCs w:val="20"/>
              </w:rPr>
              <w:t xml:space="preserve">#C0C0C0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Secondary data series, neutral category color, axis emphasis.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Foreground (Text)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#FFFFFF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00000"/>
                <w:sz w:val="20"/>
                <w:szCs w:val="20"/>
              </w:rPr>
              <w:t xml:space="preserve">#FFFFFF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Primary body text on dark backgrounds.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Gridlines / Borders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#2A2E36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A2E3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</w:rPr>
              <w:t xml:space="preserve">#2A2E36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Visual borders (10px radius), table gridlines, subtle separators. Kept very low-contrast by design.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Null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#6B7280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6B728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</w:rPr>
              <w:t xml:space="preserve">#6B7280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Null values, disabled states, muted helper text.</w:t>
            </w:r>
          </w:p>
        </w:tc>
      </w:tr>
    </w:tbl>
    <w:p>
      <w:pPr>
        <w:pStyle w:val="Heading1"/>
        <w:spacing w:after="140" w:before="300"/>
      </w:pPr>
      <w:r>
        <w:rPr>
          <w:rFonts w:ascii="Calibri" w:cs="Calibri" w:eastAsia="Calibri" w:hAnsi="Calibri"/>
        </w:rPr>
        <w:t xml:space="preserve">3. Status &amp; Performance Colors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These colors carry performance meaning and should only be used to encode data state. Do not use them as decorative accents.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1500"/>
        <w:gridCol w:w="4460"/>
      </w:tblGrid>
      <w:tr>
        <w:trPr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D4AF37"/>
                <w:sz w:val="22"/>
                <w:szCs w:val="22"/>
              </w:rPr>
              <w:t xml:space="preserve">Role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D4AF37"/>
                <w:sz w:val="22"/>
                <w:szCs w:val="22"/>
              </w:rPr>
              <w:t xml:space="preserve">Hex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D4AF37"/>
                <w:sz w:val="22"/>
                <w:szCs w:val="22"/>
              </w:rPr>
              <w:t xml:space="preserve">Preview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D4AF37"/>
                <w:sz w:val="22"/>
                <w:szCs w:val="22"/>
              </w:rPr>
              <w:t xml:space="preserve">Meaning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Good / Positive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#10F659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0F65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00000"/>
                <w:sz w:val="20"/>
                <w:szCs w:val="20"/>
              </w:rPr>
              <w:t xml:space="preserve">#10F659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On-target, above benchmark, positive variance. KPI trend arrows (up-and-good), elite-tier indicators.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Neutral / Center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#C0C0C0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0C0C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00000"/>
                <w:sz w:val="20"/>
                <w:szCs w:val="20"/>
              </w:rPr>
              <w:t xml:space="preserve">#C0C0C0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At benchmark, no meaningful change, middle tier. Shared with the silver accent — context separates them.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Bad / Negative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#F3550C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550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</w:rPr>
              <w:t xml:space="preserve">#F3550C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Off-target, below benchmark, warning state. KPI trend arrows (down-and-bad), underperforming tier.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Maximum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#FFD700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D7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00000"/>
                <w:sz w:val="20"/>
                <w:szCs w:val="20"/>
              </w:rPr>
              <w:t xml:space="preserve">#FFD700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Top of range in gradient scales (heatmaps, conditional formatting). Bright gold.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Minimum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#800020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000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</w:rPr>
              <w:t xml:space="preserve">#800020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Bottom of range in gradient scales. Deep burgundy — distinct from the Bad color to avoid conflating critical tier with worst-in-class rank.</w:t>
            </w:r>
          </w:p>
        </w:tc>
      </w:tr>
    </w:tbl>
    <w:p>
      <w:pPr>
        <w:pStyle w:val="Heading2"/>
        <w:spacing w:after="140" w:before="300"/>
      </w:pPr>
      <w:r>
        <w:rPr>
          <w:rFonts w:ascii="Calibri" w:cs="Calibri" w:eastAsia="Calibri" w:hAnsi="Calibri"/>
        </w:rPr>
        <w:t xml:space="preserve">Bad vs Minimum — when to use which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Use #F3550C (Bad) for binary / banded states — a KPI that is off-target, a tier that fails SLA, a boolean flag for risk.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Use #800020 (Minimum) for continuous scales — the worst-in-class end of a percentile ramp, the lowest cell in a heatmap.</w:t>
      </w:r>
    </w:p>
    <w:p>
      <w:r>
        <w:br w:type="page"/>
      </w:r>
    </w:p>
    <w:p>
      <w:pPr>
        <w:pStyle w:val="Heading1"/>
        <w:spacing w:after="140" w:before="300"/>
      </w:pPr>
      <w:r>
        <w:rPr>
          <w:rFonts w:ascii="Calibri" w:cs="Calibri" w:eastAsia="Calibri" w:hAnsi="Calibri"/>
        </w:rPr>
        <w:t xml:space="preserve">4. Data Color Palette (32 slots)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Power BI assigns series colors in this order. Slots 1–2 are the primary and secondary accents; slots 3–8 form the extended warm/gold family; slots 9–16 provide neutral greys and muted variants for lower-emphasis series; slots 17–32 are reserved for status encoding and specialty palettes.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</w:rPr>
        <w:t xml:space="preserve">Slots 1–8 — Primary Accents (Gold / Silver / Bronze family)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00"/>
        <w:gridCol w:w="1600"/>
        <w:gridCol w:w="4860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D4AF37"/>
                <w:sz w:val="22"/>
                <w:szCs w:val="22"/>
              </w:rPr>
              <w:t xml:space="preserve">#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D4AF37"/>
                <w:sz w:val="22"/>
                <w:szCs w:val="22"/>
              </w:rPr>
              <w:t xml:space="preserve">Hex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D4AF37"/>
                <w:sz w:val="22"/>
                <w:szCs w:val="22"/>
              </w:rPr>
              <w:t xml:space="preserve">Preview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D4AF37"/>
                <w:sz w:val="22"/>
                <w:szCs w:val="22"/>
              </w:rPr>
              <w:t xml:space="preserve">Suggested use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#D4AF37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AF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00000"/>
                <w:sz w:val="20"/>
                <w:szCs w:val="20"/>
              </w:rPr>
              <w:t xml:space="preserve">#D4AF37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Primary series — the single most important measure in a visual.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#C0C0C0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0C0C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00000"/>
                <w:sz w:val="20"/>
                <w:szCs w:val="20"/>
              </w:rPr>
              <w:t xml:space="preserve">#C0C0C0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Secondary series — comparison line, prior period, benchmark.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#8B8680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B868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</w:rPr>
              <w:t xml:space="preserve">#8B8680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Tertiary warm — supporting series in gold/bronze family.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#B87333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B8733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</w:rPr>
              <w:t xml:space="preserve">#B87333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Bronze accent — categorical variant within warm family.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#E8C872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C87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00000"/>
                <w:sz w:val="20"/>
                <w:szCs w:val="20"/>
              </w:rPr>
              <w:t xml:space="preserve">#E8C872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Light gold — for highlighting subsets inside the primary series.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#C99A2E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99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00000"/>
                <w:sz w:val="20"/>
                <w:szCs w:val="20"/>
              </w:rPr>
              <w:t xml:space="preserve">#C99A2E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Deep gold — categorical variant, higher contrast than slot 1.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#D3D3D3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3D3D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00000"/>
                <w:sz w:val="20"/>
                <w:szCs w:val="20"/>
              </w:rPr>
              <w:t xml:space="preserve">#D3D3D3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Light silver — supporting neutral.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#A8A8A8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8A8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00000"/>
                <w:sz w:val="20"/>
                <w:szCs w:val="20"/>
              </w:rPr>
              <w:t xml:space="preserve">#A8A8A8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Mid silver — supporting neutral.</w:t>
            </w:r>
          </w:p>
        </w:tc>
      </w:tr>
    </w:tbl>
    <w:p>
      <w:pPr>
        <w:pStyle w:val="Heading2"/>
        <w:spacing w:after="140" w:before="300"/>
      </w:pPr>
      <w:r>
        <w:rPr>
          <w:rFonts w:ascii="Calibri" w:cs="Calibri" w:eastAsia="Calibri" w:hAnsi="Calibri"/>
        </w:rPr>
        <w:t xml:space="preserve">Slots 9–16 — Neutral &amp; Muted Tones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00"/>
        <w:gridCol w:w="1600"/>
        <w:gridCol w:w="4860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D4AF37"/>
                <w:sz w:val="22"/>
                <w:szCs w:val="22"/>
              </w:rPr>
              <w:t xml:space="preserve">#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D4AF37"/>
                <w:sz w:val="22"/>
                <w:szCs w:val="22"/>
              </w:rPr>
              <w:t xml:space="preserve">Hex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D4AF37"/>
                <w:sz w:val="22"/>
                <w:szCs w:val="22"/>
              </w:rPr>
              <w:t xml:space="preserve">Preview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D4AF37"/>
                <w:sz w:val="22"/>
                <w:szCs w:val="22"/>
              </w:rPr>
              <w:t xml:space="preserve">Suggested use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9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#A39E99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39E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00000"/>
                <w:sz w:val="20"/>
                <w:szCs w:val="20"/>
              </w:rPr>
              <w:t xml:space="preserve">#A39E99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Warm grey — low-emphasis series.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#6E6A66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6E6A6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</w:rPr>
              <w:t xml:space="preserve">#6E6A66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Cool grey — low-emphasis series.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11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#CD8942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D894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</w:rPr>
              <w:t xml:space="preserve">#CD8942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Amber — warning or transitional category.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12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#A66729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6672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</w:rPr>
              <w:t xml:space="preserve">#A66729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Dark bronze — secondary warm accent.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13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#E5E4E2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5E4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00000"/>
                <w:sz w:val="20"/>
                <w:szCs w:val="20"/>
              </w:rPr>
              <w:t xml:space="preserve">#E5E4E2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Platinum — near-white neutral.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14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#B8B8B8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B8B8B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00000"/>
                <w:sz w:val="20"/>
                <w:szCs w:val="20"/>
              </w:rPr>
              <w:t xml:space="preserve">#B8B8B8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Light grey — background category fill.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15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#565656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6565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</w:rPr>
              <w:t xml:space="preserve">#565656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Charcoal — deep neutral, small-multiple borders.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16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#878787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7878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</w:rPr>
              <w:t xml:space="preserve">#878787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Mid grey — legend chips, deprecated states.</w:t>
            </w:r>
          </w:p>
        </w:tc>
      </w:tr>
    </w:tbl>
    <w:p>
      <w:pPr>
        <w:pStyle w:val="Heading2"/>
        <w:spacing w:after="140" w:before="300"/>
      </w:pPr>
      <w:r>
        <w:rPr>
          <w:rFonts w:ascii="Calibri" w:cs="Calibri" w:eastAsia="Calibri" w:hAnsi="Calibri"/>
        </w:rPr>
        <w:t xml:space="preserve">Slots 17–24 — Status &amp; Deep Accents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00"/>
        <w:gridCol w:w="1600"/>
        <w:gridCol w:w="4860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D4AF37"/>
                <w:sz w:val="22"/>
                <w:szCs w:val="22"/>
              </w:rPr>
              <w:t xml:space="preserve">#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D4AF37"/>
                <w:sz w:val="22"/>
                <w:szCs w:val="22"/>
              </w:rPr>
              <w:t xml:space="preserve">Hex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D4AF37"/>
                <w:sz w:val="22"/>
                <w:szCs w:val="22"/>
              </w:rPr>
              <w:t xml:space="preserve">Preview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D4AF37"/>
                <w:sz w:val="22"/>
                <w:szCs w:val="22"/>
              </w:rPr>
              <w:t xml:space="preserve">Suggested use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17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#6B7280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6B728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</w:rPr>
              <w:t xml:space="preserve">#6B7280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Slate — null/inactive.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18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#FFD700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D7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00000"/>
                <w:sz w:val="20"/>
                <w:szCs w:val="20"/>
              </w:rPr>
              <w:t xml:space="preserve">#FFD700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Bright gold — peak indicator, maximum in gradients.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19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#800020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000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</w:rPr>
              <w:t xml:space="preserve">#800020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Burgundy — minimum in gradients, critical tier.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#A78F8F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78F8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00000"/>
                <w:sz w:val="20"/>
                <w:szCs w:val="20"/>
              </w:rPr>
              <w:t xml:space="preserve">#A78F8F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Rose grey — neutral with warmth; paired category.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21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#168980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6898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</w:rPr>
              <w:t xml:space="preserve">#168980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Teal — categorical diversifier for multi-series visuals.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22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#293537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935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</w:rPr>
              <w:t xml:space="preserve">#293537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Deep slate — chart backdrop alt, dividers.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23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#BB4A4A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BB4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</w:rPr>
              <w:t xml:space="preserve">#BB4A4A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Brick — secondary bad/warning accent.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24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#B59525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B5952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</w:rPr>
              <w:t xml:space="preserve">#B59525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Mustard — warm category diversifier.</w:t>
            </w:r>
          </w:p>
        </w:tc>
      </w:tr>
    </w:tbl>
    <w:p>
      <w:pPr>
        <w:pStyle w:val="Heading2"/>
        <w:spacing w:after="140" w:before="300"/>
      </w:pPr>
      <w:r>
        <w:rPr>
          <w:rFonts w:ascii="Calibri" w:cs="Calibri" w:eastAsia="Calibri" w:hAnsi="Calibri"/>
        </w:rPr>
        <w:t xml:space="preserve">Slots 25–32 — Specialty / Overflow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00"/>
        <w:gridCol w:w="1600"/>
        <w:gridCol w:w="4860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D4AF37"/>
                <w:sz w:val="22"/>
                <w:szCs w:val="22"/>
              </w:rPr>
              <w:t xml:space="preserve">#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D4AF37"/>
                <w:sz w:val="22"/>
                <w:szCs w:val="22"/>
              </w:rPr>
              <w:t xml:space="preserve">Hex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D4AF37"/>
                <w:sz w:val="22"/>
                <w:szCs w:val="22"/>
              </w:rPr>
              <w:t xml:space="preserve">Preview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D4AF37"/>
                <w:sz w:val="22"/>
                <w:szCs w:val="22"/>
              </w:rPr>
              <w:t xml:space="preserve">Suggested use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25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#475052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7505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</w:rPr>
              <w:t xml:space="preserve">#475052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Deep slate — small-multiple separator.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26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#6A9FB0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6A9FB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</w:rPr>
              <w:t xml:space="preserve">#6A9FB0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Steel blue — tertiary categorical.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27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#BD7150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BD715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</w:rPr>
              <w:t xml:space="preserve">#BD7150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Terracotta — warm accent.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28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#7B4F71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B4F7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</w:rPr>
              <w:t xml:space="preserve">#7B4F71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Plum — cool accent, categorical.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29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#1B4D5C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4D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</w:rPr>
              <w:t xml:space="preserve">#1B4D5C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Deep teal — accent, geo/map fills.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30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#706060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060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</w:rPr>
              <w:t xml:space="preserve">#706060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Warm grey — tertiary neutral.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31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#0F5C55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5C5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</w:rPr>
              <w:t xml:space="preserve">#0F5C55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Emerald — positive accent for geo/map fills.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32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#1C2325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C232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</w:rPr>
              <w:t xml:space="preserve">#1C2325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Deep slate — darkest neutral, headers on light inversions.</w:t>
            </w:r>
          </w:p>
        </w:tc>
      </w:tr>
    </w:tbl>
    <w:p>
      <w:pPr>
        <w:pStyle w:val="Heading2"/>
        <w:spacing w:after="140" w:before="300"/>
      </w:pPr>
      <w:r>
        <w:rPr>
          <w:rFonts w:ascii="Calibri" w:cs="Calibri" w:eastAsia="Calibri" w:hAnsi="Calibri"/>
        </w:rPr>
        <w:t xml:space="preserve">Rules for using data colors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Never put gold (#D4AF37) next to bright gold (#FFD700) in the same visual — reserve #FFD700 for gradient maxima only.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Limit a single chart to 4 distinct series from slots 1–8. Beyond 4, switch to small multiples or add a second visual.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Categorical visuals should draw from slots 1, 2, 20 (teal), and 18 (burgundy) — these four are maximally distinguishable against the dark canvas.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When a chart encodes performance, override the categorical colors with the status palette (Good / Neutral / Bad).</w:t>
      </w:r>
    </w:p>
    <w:p>
      <w:r>
        <w:br w:type="page"/>
      </w:r>
    </w:p>
    <w:p>
      <w:pPr>
        <w:pStyle w:val="Heading1"/>
        <w:spacing w:after="140" w:before="300"/>
      </w:pPr>
      <w:r>
        <w:rPr>
          <w:rFonts w:ascii="Calibri" w:cs="Calibri" w:eastAsia="Calibri" w:hAnsi="Calibri"/>
        </w:rPr>
        <w:t xml:space="preserve">5. Typography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The theme uses DIN as the display typeface across all text classes. DIN is chosen for its geometric structure, strong numerals, and strong readability at small sizes — all critical for data-dense executive dashboards.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800"/>
        <w:gridCol w:w="1400"/>
        <w:gridCol w:w="336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D4AF37"/>
                <w:sz w:val="22"/>
                <w:szCs w:val="22"/>
              </w:rPr>
              <w:t xml:space="preserve">Class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D4AF37"/>
                <w:sz w:val="22"/>
                <w:szCs w:val="22"/>
              </w:rPr>
              <w:t xml:space="preserve">Size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D4AF37"/>
                <w:sz w:val="22"/>
                <w:szCs w:val="22"/>
              </w:rPr>
              <w:t xml:space="preserve">Color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D4AF37"/>
                <w:sz w:val="22"/>
                <w:szCs w:val="22"/>
              </w:rPr>
              <w:t xml:space="preserve">Preview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D4AF37"/>
                <w:sz w:val="22"/>
                <w:szCs w:val="22"/>
              </w:rPr>
              <w:t xml:space="preserve">Used for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Callout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45 pt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#EEDFAF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DF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00000"/>
                <w:sz w:val="20"/>
                <w:szCs w:val="20"/>
              </w:rPr>
              <w:t xml:space="preserve">#EEDFAF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KPI callout values on dashboard cards; the single largest number on a page.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Title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14 pt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#EEDFAF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DF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00000"/>
                <w:sz w:val="20"/>
                <w:szCs w:val="20"/>
              </w:rPr>
              <w:t xml:space="preserve">#EEDFAF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Visual titles across all chart types — the primary identifier of what a visual shows.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Header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12 pt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#D4AF37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AF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00000"/>
                <w:sz w:val="20"/>
                <w:szCs w:val="20"/>
              </w:rPr>
              <w:t xml:space="preserve">#D4AF37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Table / matrix column headers. Rendered on gold fill with black type (#000000) for maximum read.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Label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10 pt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#9AA0AA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AA0A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00000"/>
                <w:sz w:val="20"/>
                <w:szCs w:val="20"/>
              </w:rPr>
              <w:t xml:space="preserve">#9AA0AA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Axis tick labels, legend entries, tooltip keys, helper copy.</w:t>
            </w:r>
          </w:p>
        </w:tc>
      </w:tr>
    </w:tbl>
    <w:p>
      <w:pPr>
        <w:pStyle w:val="Heading2"/>
        <w:spacing w:after="140" w:before="300"/>
      </w:pPr>
      <w:r>
        <w:rPr>
          <w:rFonts w:ascii="Calibri" w:cs="Calibri" w:eastAsia="Calibri" w:hAnsi="Calibri"/>
        </w:rPr>
        <w:t xml:space="preserve">Fallback fonts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If DIN is unavailable in the environment, substitute in this order: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Segoe UI — Microsoft default, ships on all Windows / Power BI Desktop installs.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Arial — universal fallback, acceptable for print exports.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Do not substitute serif or display faces. The theme is engineered around a geometric sans.</w:t>
      </w:r>
    </w:p>
    <w:p>
      <w:pPr>
        <w:pStyle w:val="Heading1"/>
        <w:spacing w:after="140" w:before="300"/>
      </w:pPr>
      <w:r>
        <w:rPr>
          <w:rFonts w:ascii="Calibri" w:cs="Calibri" w:eastAsia="Calibri" w:hAnsi="Calibri"/>
        </w:rPr>
        <w:t xml:space="preserve">6. Visual Primitives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</w:rPr>
        <w:t xml:space="preserve">Visual container (default)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Background: #0F1115 (matches canvas — visuals appear seamless).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Border: 1px, #2A2E36, rounded 10px corners.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Title: DIN 14pt, color #EEDFAF, shown by default.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Subtitle (when used): DIN 10pt, color #D4AF37.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</w:rPr>
        <w:t xml:space="preserve">Cards (KPI tiles)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Callout value: DIN 40pt, color #FFFFFF — pure white for the headline number, even though the global callout class uses #EEDFAF. Cards emphasize the number; dashboards use the softer gold elsewhere.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Category label: DIN 10pt, color #D4AF37 — the gold label sits under the big white number.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Same #0F1115 background + #2A2E36 rounded border as all other visuals.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</w:rPr>
        <w:t xml:space="preserve">Tables &amp; Matrices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D4AF37"/>
                <w:sz w:val="22"/>
                <w:szCs w:val="22"/>
              </w:rPr>
              <w:t xml:space="preserve">Element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D4AF37"/>
                <w:sz w:val="22"/>
                <w:szCs w:val="22"/>
              </w:rPr>
              <w:t xml:space="preserve">Spec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D4AF37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Column header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Fill #D4AF37 · Text #000000 · DIN 11pt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High-contrast gold header is the strongest visual signal on the page. Keeps matrices scannable at 10-foot distances (conference room use).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Row header (matrix)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Fill #1A1D23 · Text #FFFFFF · DIN 10pt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Mid-dark surface to separate rows from canvas without competing with the gold column header.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Primary row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Fill #0F1115 · Text #FFFFFF · DIN 10pt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Matches canvas — gives ultra-clean dense tables.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Alternate row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Fill #1A1D23 · Text #FFFFFF · DIN 10pt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Banded rows for visual tracking across wide tables.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Grid lines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#2A2E36 · 1px · both axes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Low-contrast grid — structure without distraction.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Total row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Fill #2A2E36 · Text #EEDFAF · DIN 11pt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Slightly darker than alternate rows, with warm-gold text. Always bold-enough to read as a summary.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Row padding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3 px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Tight padding — favors density over whitespace for executive density dashboards.</w:t>
            </w:r>
          </w:p>
        </w:tc>
      </w:tr>
    </w:tbl>
    <w:p>
      <w:pPr>
        <w:pStyle w:val="Heading2"/>
        <w:spacing w:after="140" w:before="300"/>
      </w:pPr>
      <w:r>
        <w:rPr>
          <w:rFonts w:ascii="Calibri" w:cs="Calibri" w:eastAsia="Calibri" w:hAnsi="Calibri"/>
        </w:rPr>
        <w:t xml:space="preserve">Chart defaults (bar / column / line / scatter / pie / donut)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Primary series fill: #D4AF37 (gold). All single-series charts use gold unless status-encoded.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Axes: labels #9AA0AA, DIN 10pt. Axis titles hidden by default — the visual title carries the context.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Gridlines: hidden by default on both axes. When needed, use #2A2E36 at 1px.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Legend: #E5E7EB text, DIN 10pt. Legend title suppressed.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Data labels (when on): #E5E7EB text, DIN 10pt.</w:t>
      </w:r>
    </w:p>
    <w:p>
      <w:r>
        <w:br w:type="page"/>
      </w:r>
    </w:p>
    <w:p>
      <w:pPr>
        <w:pStyle w:val="Heading1"/>
        <w:spacing w:after="140" w:before="300"/>
      </w:pPr>
      <w:r>
        <w:rPr>
          <w:rFonts w:ascii="Calibri" w:cs="Calibri" w:eastAsia="Calibri" w:hAnsi="Calibri"/>
        </w:rPr>
        <w:t xml:space="preserve">7. Usage Patterns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</w:rPr>
        <w:t xml:space="preserve">KPI performance cards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Card structure: large white number on dark canvas, gold category label below, small trend arrow in status color, 10pt period-over-period delta to the right of the arrow.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Value: #FFFFFF, DIN 40pt.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Category label: #D4AF37, DIN 10pt.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Trend arrow: #10F659 up-and-good, #F3550C down-and-bad, #C0C0C0 flat.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</w:rPr>
        <w:t xml:space="preserve">Index score tiers (VPI, GPI, PHI, Ops)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1500"/>
        <w:gridCol w:w="1500"/>
        <w:gridCol w:w="2960"/>
      </w:tblGrid>
      <w:tr>
        <w:trPr>
          <w:tblHeader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D4AF37"/>
                <w:sz w:val="22"/>
                <w:szCs w:val="22"/>
              </w:rPr>
              <w:t xml:space="preserve">Tier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D4AF37"/>
                <w:sz w:val="22"/>
                <w:szCs w:val="22"/>
              </w:rPr>
              <w:t xml:space="preserve">Score range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D4AF37"/>
                <w:sz w:val="22"/>
                <w:szCs w:val="22"/>
              </w:rPr>
              <w:t xml:space="preserve">Color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D4AF37"/>
                <w:sz w:val="22"/>
                <w:szCs w:val="22"/>
              </w:rPr>
              <w:t xml:space="preserve">Preview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D4AF37"/>
                <w:sz w:val="22"/>
                <w:szCs w:val="22"/>
              </w:rPr>
              <w:t xml:space="preserve">Rendering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Elite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80 – 100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#10F659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0F65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00000"/>
                <w:sz w:val="20"/>
                <w:szCs w:val="20"/>
              </w:rPr>
              <w:t xml:space="preserve">#10F659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Fill bars, tier badges, star icons (5).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Strong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60 – 79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#D4AF37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AF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00000"/>
                <w:sz w:val="20"/>
                <w:szCs w:val="20"/>
              </w:rPr>
              <w:t xml:space="preserve">#D4AF37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Above average — gold matches the primary accent.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Moderate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40 – 59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#C0C0C0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0C0C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00000"/>
                <w:sz w:val="20"/>
                <w:szCs w:val="20"/>
              </w:rPr>
              <w:t xml:space="preserve">#C0C0C0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Silver — neutral / average.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Underperforming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20 – 39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#F3550C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550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</w:rPr>
              <w:t xml:space="preserve">#F3550C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Warning orange — targeted improvement needed.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Critical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0 – 19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#800020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000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</w:rPr>
              <w:t xml:space="preserve">#800020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Burgundy — review or remove.</w:t>
            </w:r>
          </w:p>
        </w:tc>
      </w:tr>
    </w:tbl>
    <w:p>
      <w:pPr>
        <w:pStyle w:val="Heading2"/>
        <w:spacing w:after="140" w:before="300"/>
      </w:pPr>
      <w:r>
        <w:rPr>
          <w:rFonts w:ascii="Calibri" w:cs="Calibri" w:eastAsia="Calibri" w:hAnsi="Calibri"/>
        </w:rPr>
        <w:t xml:space="preserve">Heatmaps &amp; gradient fills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Minimum: #800020 (burgundy).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Center: #C0C0C0 (silver).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Maximum: #FFD700 (bright gold).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The three-point gradient is the default — use a two-point (Min → Max) only when zero is a meaningful midpoint, since the center drops silver out of the scale.</w:t>
      </w:r>
    </w:p>
    <w:p>
      <w:pPr>
        <w:pStyle w:val="Heading1"/>
        <w:spacing w:after="140" w:before="300"/>
      </w:pPr>
      <w:r>
        <w:rPr>
          <w:rFonts w:ascii="Calibri" w:cs="Calibri" w:eastAsia="Calibri" w:hAnsi="Calibri"/>
        </w:rPr>
        <w:t xml:space="preserve">8. Quick Do / Don't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D4AF37"/>
                <w:sz w:val="22"/>
                <w:szCs w:val="22"/>
              </w:rPr>
              <w:t xml:space="preserve">Do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D4AF37"/>
                <w:sz w:val="22"/>
                <w:szCs w:val="22"/>
              </w:rPr>
              <w:t xml:space="preserve">Don't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Use #D4AF37 for the most important single series.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Don't use gold for every series in a multi-line chart — it becomes meaningless.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Reserve #FFD700 for gradient maxima and peak indicators.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Don't mix #D4AF37 and #FFD700 as distinct categorical colors — they read as the same gold.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Encode performance with the status palette (Good / Neutral / Bad).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Don't use status colors as decorative accents or branding.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Hide axis titles — the visual title carries the context.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Don't stack axis title + visual title + category label — redundant on small cards.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Keep grid lines off by default; switch on only when reading precise values matters.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Don't use gridlines brighter than #2A2E36 — they will compete with data.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Match visual background (#0F1115) to canvas for seamless layouts.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Don't put a lighter-than-canvas fill behind individual visuals — breaks the dark-canvas feel.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Use burgundy (#800020) for gradient minima, orange (#F3550C) for banded critical states.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Don't swap Bad and Minimum — they mean different things in continuous vs banded encoding.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Use DIN for display; Calibri / Arial as a fallback when DIN is not licensed.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Don't fall back to serif or display faces — the theme is engineered around a geometric sans.</w:t>
            </w:r>
          </w:p>
        </w:tc>
      </w:tr>
    </w:tbl>
    <w:p>
      <w:pPr>
        <w:pStyle w:val="Heading1"/>
        <w:spacing w:after="140" w:before="300"/>
      </w:pPr>
      <w:r>
        <w:rPr>
          <w:rFonts w:ascii="Calibri" w:cs="Calibri" w:eastAsia="Calibri" w:hAnsi="Calibri"/>
        </w:rPr>
        <w:t xml:space="preserve">Appendix A — Color Reference (quick list)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800"/>
        <w:gridCol w:w="1500"/>
        <w:gridCol w:w="2660"/>
      </w:tblGrid>
      <w:tr>
        <w:trPr>
          <w:tblHeader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D4AF37"/>
                <w:sz w:val="22"/>
                <w:szCs w:val="22"/>
              </w:rPr>
              <w:t xml:space="preserve">Role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D4AF37"/>
                <w:sz w:val="22"/>
                <w:szCs w:val="22"/>
              </w:rPr>
              <w:t xml:space="preserve">Hex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D4AF37"/>
                <w:sz w:val="22"/>
                <w:szCs w:val="22"/>
              </w:rPr>
              <w:t xml:space="preserve">Preview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D4AF37"/>
                <w:sz w:val="22"/>
                <w:szCs w:val="22"/>
              </w:rPr>
              <w:t xml:space="preserve">Category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Background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#0F1115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111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</w:rPr>
              <w:t xml:space="preserve">#0F1115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Canvas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Surface / alt row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#1A1D23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1D2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</w:rPr>
              <w:t xml:space="preserve">#1A1D23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Canvas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Gridline / border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#2A2E36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A2E3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</w:rPr>
              <w:t xml:space="preserve">#2A2E36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Canvas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Null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#6B7280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6B728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</w:rPr>
              <w:t xml:space="preserve">#6B7280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Canvas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Foreground (text)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#FFFFFF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00000"/>
                <w:sz w:val="20"/>
                <w:szCs w:val="20"/>
              </w:rPr>
              <w:t xml:space="preserve">#FFFFFF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Canvas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Primary accent (Gold)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#D4AF37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AF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00000"/>
                <w:sz w:val="20"/>
                <w:szCs w:val="20"/>
              </w:rPr>
              <w:t xml:space="preserve">#D4AF37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Accent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Secondary accent (Silver)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#C0C0C0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0C0C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00000"/>
                <w:sz w:val="20"/>
                <w:szCs w:val="20"/>
              </w:rPr>
              <w:t xml:space="preserve">#C0C0C0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Accent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Callout / title text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#EEDFAF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DF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00000"/>
                <w:sz w:val="20"/>
                <w:szCs w:val="20"/>
              </w:rPr>
              <w:t xml:space="preserve">#EEDFAF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Typography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Header text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#D4AF37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AF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00000"/>
                <w:sz w:val="20"/>
                <w:szCs w:val="20"/>
              </w:rPr>
              <w:t xml:space="preserve">#D4AF37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Typography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Label text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#9AA0AA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AA0A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00000"/>
                <w:sz w:val="20"/>
                <w:szCs w:val="20"/>
              </w:rPr>
              <w:t xml:space="preserve">#9AA0AA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Typography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Good / Positive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#10F659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0F65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00000"/>
                <w:sz w:val="20"/>
                <w:szCs w:val="20"/>
              </w:rPr>
              <w:t xml:space="preserve">#10F659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Neutral / Center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#C0C0C0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0C0C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00000"/>
                <w:sz w:val="20"/>
                <w:szCs w:val="20"/>
              </w:rPr>
              <w:t xml:space="preserve">#C0C0C0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Bad / Negative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#F3550C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550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</w:rPr>
              <w:t xml:space="preserve">#F3550C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Maximum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#FFD700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D7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00000"/>
                <w:sz w:val="20"/>
                <w:szCs w:val="20"/>
              </w:rPr>
              <w:t xml:space="preserve">#FFD700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Minimum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#800020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000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</w:rPr>
              <w:t xml:space="preserve">#800020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9AA0AA"/>
        <w:sz w:val="18"/>
        <w:szCs w:val="18"/>
      </w:rPr>
      <w:t xml:space="preserve">Page </w:t>
    </w:r>
    <w:r>
      <w:rPr>
        <w:rFonts w:ascii="Calibri" w:cs="Calibri" w:eastAsia="Calibri" w:hAnsi="Calibri"/>
        <w:color w:val="9AA0AA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9AA0AA"/>
        <w:sz w:val="18"/>
        <w:szCs w:val="18"/>
      </w:rPr>
      <w:t xml:space="preserve"> of </w:t>
    </w:r>
    <w:r>
      <w:rPr>
        <w:rFonts w:ascii="Calibri" w:cs="Calibri" w:eastAsia="Calibri" w:hAnsi="Calibri"/>
        <w:color w:val="9AA0AA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9AA0AA"/>
        <w:sz w:val="18"/>
        <w:szCs w:val="18"/>
      </w:rPr>
      <w:t xml:space="preserve">NorthStar · Executive Dark Theme Style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D4AF3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Executive Dark Theme — Style Guide</dc:title>
  <dc:creator>NorthStar Residential Group</dc:creator>
  <cp:lastModifiedBy>Un-named</cp:lastModifiedBy>
  <cp:revision>1</cp:revision>
  <dcterms:created xsi:type="dcterms:W3CDTF">2026-04-18T21:20:57.516Z</dcterms:created>
  <dcterms:modified xsi:type="dcterms:W3CDTF">2026-04-18T21:20:57.517Z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