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SARS-CoV-2 viral lineage assignment (Nextclade)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4"/>
        <w:gridCol w:w="1768"/>
        <w:gridCol w:w="3908"/>
        <w:gridCol w:w="3872"/>
        <w:gridCol w:w="4593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Clade (Strain)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Consensus sequences per clade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Consenus sequences per clade [%]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consensus sequences per sample [n]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828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937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2025-09-05T14:23:22Z</dcterms:modified>
  <cp:category/>
</cp:coreProperties>
</file>