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Predicted runtimes for missing sample sizes up to 192 (per condition)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961"/>
        <w:gridCol w:w="1572"/>
        <w:gridCol w:w="2514"/>
        <w:gridCol w:w="1584"/>
        <w:gridCol w:w="1584"/>
        <w:gridCol w:w="1451"/>
        <w:gridCol w:w="1340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Samples [n]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Predicted Runtime [s]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Lower CI [s]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Upper CI [s]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type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57,116.82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56,979.87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57,254.1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0.9234414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478,856.60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476,634.91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481,088.6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0.9234414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</w:t>
            </w:r>
          </w:p>
        </w:tc>
      </w:tr>
      <w:tr>
        <w:trPr>
          <w:trHeight w:val="60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874,616.31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869,621.96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879,639.3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0.9234414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2025-09-25T14:37:48Z</dcterms:modified>
  <cp:category/>
</cp:coreProperties>
</file>