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SARS-CoV-2 viral lineage assignment (Nextclade)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94"/>
        <w:gridCol w:w="1768"/>
        <w:gridCol w:w="3908"/>
        <w:gridCol w:w="3872"/>
        <w:gridCol w:w="4593"/>
      </w:tblGrid>
      <w:tr>
        <w:trPr>
          <w:trHeight w:val="61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Clade (Strain)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Consensus sequences per clade [n]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Consenus sequences per clade [%]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consensus sequences per sample [n]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21I (Delta)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702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patient2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828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828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4" w:space="0" w:color="999999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patient3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937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4" w:space="0" w:color="999999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937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patient4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21J (Delta)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2025-08-27T14:37:50Z</dcterms:modified>
  <cp:category/>
</cp:coreProperties>
</file>