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BA8"/>
        </w:rPr>
        <w:t>Project Summary — Meeting-to-Action Orchestrator</w:t>
      </w:r>
    </w:p>
    <w:p>
      <w:r>
        <w:rPr>
          <w:b/>
        </w:rPr>
        <w:t>Team:</w:t>
      </w:r>
      <w:r>
        <w:t xml:space="preserve"> Toxic | </w:t>
      </w:r>
      <w:r>
        <w:rPr>
          <w:b/>
        </w:rPr>
        <w:t>Track:</w:t>
      </w:r>
      <w:r>
        <w:t xml:space="preserve"> Track 2 — Vibing + Grounding </w:t>
      </w:r>
      <w:r>
        <w:rPr>
          <w:b/>
        </w:rPr>
        <w:t>Framework:</w:t>
      </w:r>
      <w:r>
        <w:t xml:space="preserve"> Cognizant neuro-san / neuro-san-studio (Apache-2.0) </w:t>
      </w:r>
      <w:r>
        <w:rPr>
          <w:b/>
        </w:rPr>
        <w:t>LLM:</w:t>
      </w:r>
      <w:r>
        <w:t xml:space="preserve"> Anthropic Claude (</w:t>
      </w:r>
      <w:r>
        <w:rPr>
          <w:rFonts w:ascii="Consolas" w:hAnsi="Consolas"/>
          <w:color w:val="B03060"/>
          <w:sz w:val="19"/>
        </w:rPr>
        <w:t>claude-sonnet-4-5</w:t>
      </w:r>
      <w:r>
        <w:t>), provider-agnostic config</w:t>
      </w:r>
    </w:p>
    <w:p>
      <w:pPr>
        <w:pStyle w:val="Heading1"/>
      </w:pPr>
      <w:r>
        <w:rPr>
          <w:color w:val="2E5BA8"/>
        </w:rPr>
        <w:t>1. Problem</w:t>
      </w:r>
    </w:p>
    <w:p>
      <w:r>
        <w:t xml:space="preserve">Corporate meetings are where decisions are made — and where accountability quietly dies. A large share of action items agreed in meetings are never tracked, never assigned a clear owner, or silently miss their deadline. Teams now have plenty of tools that </w:t>
      </w:r>
      <w:r>
        <w:rPr>
          <w:i/>
        </w:rPr>
        <w:t>transcribe</w:t>
      </w:r>
      <w:r>
        <w:t xml:space="preserve"> and </w:t>
      </w:r>
      <w:r>
        <w:rPr>
          <w:i/>
        </w:rPr>
        <w:t>summarize</w:t>
      </w:r>
      <w:r>
        <w:t xml:space="preserve"> meetings, but almost none that close the loop on </w:t>
      </w:r>
      <w:r>
        <w:rPr>
          <w:b/>
        </w:rPr>
        <w:t>follow-through</w:t>
      </w:r>
      <w:r>
        <w:t>: who owns what, by when, what is now overdue, and who is overloaded. That last mile — the chasing, the nudging, the status-keeping — still lands on a human chief-of-staff or manager and is the single most-neglected chore in corporate life.</w:t>
      </w:r>
    </w:p>
    <w:p>
      <w:r>
        <w:t>This is a universal, high-value pain, and it maps naturally onto what multi-agent AI does well: parallel extraction, specialized reasoning, planning, and coordination.</w:t>
      </w:r>
    </w:p>
    <w:p>
      <w:pPr>
        <w:pStyle w:val="Heading1"/>
      </w:pPr>
      <w:r>
        <w:rPr>
          <w:color w:val="2E5BA8"/>
        </w:rPr>
        <w:t>2. Solution overview</w:t>
      </w:r>
    </w:p>
    <w:p>
      <w:r>
        <w:t xml:space="preserve">The </w:t>
      </w:r>
      <w:r>
        <w:rPr>
          <w:b/>
        </w:rPr>
        <w:t>Meeting-to-Action Orchestrator</w:t>
      </w:r>
      <w:r>
        <w:t xml:space="preserve"> is a team of AI agents, built on neuro-san, that runs the entire meeting-to-accountability pipeline. A user provides meeting content — pasted text, a local file path, or a URL — and a front-man agent (</w:t>
      </w:r>
      <w:r>
        <w:rPr>
          <w:rFonts w:ascii="Consolas" w:hAnsi="Consolas"/>
          <w:color w:val="B03060"/>
          <w:sz w:val="19"/>
        </w:rPr>
        <w:t>MeetingCoordinator</w:t>
      </w:r>
      <w:r>
        <w:t>) coordinates six specialists via the AAOSA delegation protocol to turn that raw content into a tracked, prioritized, owner-assigned action plan, and then to flag exactly what is slipping.</w:t>
      </w:r>
    </w:p>
    <w:p>
      <w:r>
        <w:t>The pipeline:</w:t>
      </w:r>
    </w:p>
    <w:p>
      <w:pPr>
        <w:pStyle w:val="ListNumber"/>
      </w:pPr>
      <w:r>
        <w:rPr>
          <w:b/>
        </w:rPr>
        <w:t>Ingest &amp; extract</w:t>
      </w:r>
      <w:r>
        <w:t xml:space="preserve"> — </w:t>
      </w:r>
      <w:r>
        <w:rPr>
          <w:rFonts w:ascii="Consolas" w:hAnsi="Consolas"/>
          <w:color w:val="B03060"/>
          <w:sz w:val="19"/>
        </w:rPr>
        <w:t>IntakeAgent</w:t>
      </w:r>
      <w:r>
        <w:t xml:space="preserve"> uses the </w:t>
      </w:r>
      <w:r>
        <w:rPr>
          <w:rFonts w:ascii="Consolas" w:hAnsi="Consolas"/>
          <w:color w:val="B03060"/>
          <w:sz w:val="19"/>
        </w:rPr>
        <w:t>read_file</w:t>
      </w:r>
      <w:r>
        <w:t xml:space="preserve"> / </w:t>
      </w:r>
      <w:r>
        <w:rPr>
          <w:rFonts w:ascii="Consolas" w:hAnsi="Consolas"/>
          <w:color w:val="B03060"/>
          <w:sz w:val="19"/>
        </w:rPr>
        <w:t>web_fetch</w:t>
      </w:r>
      <w:r>
        <w:t xml:space="preserve"> tools to</w:t>
      </w:r>
    </w:p>
    <w:p>
      <w:r>
        <w:t>read the meeting content (including PDFs) and extracts decisions, action items, and verbal commitments.</w:t>
      </w:r>
    </w:p>
    <w:p>
      <w:pPr>
        <w:pStyle w:val="ListNumber"/>
      </w:pPr>
      <w:r>
        <w:rPr>
          <w:b/>
        </w:rPr>
        <w:t>Assign &amp; persist</w:t>
      </w:r>
      <w:r>
        <w:t xml:space="preserve"> — </w:t>
      </w:r>
      <w:r>
        <w:rPr>
          <w:rFonts w:ascii="Consolas" w:hAnsi="Consolas"/>
          <w:color w:val="B03060"/>
          <w:sz w:val="19"/>
        </w:rPr>
        <w:t>OwnerResolver</w:t>
      </w:r>
      <w:r>
        <w:t xml:space="preserve"> determines an owner and due date for each</w:t>
      </w:r>
    </w:p>
    <w:p>
      <w:r>
        <w:t xml:space="preserve">item and stores it via the </w:t>
      </w:r>
      <w:r>
        <w:rPr>
          <w:rFonts w:ascii="Consolas" w:hAnsi="Consolas"/>
          <w:color w:val="B03060"/>
          <w:sz w:val="19"/>
        </w:rPr>
        <w:t>ActionItemStore</w:t>
      </w:r>
      <w:r>
        <w:t xml:space="preserve"> coded tool.</w:t>
      </w:r>
    </w:p>
    <w:p>
      <w:pPr>
        <w:pStyle w:val="ListNumber"/>
      </w:pPr>
      <w:r>
        <w:rPr>
          <w:b/>
        </w:rPr>
        <w:t>Prioritize &amp; balance</w:t>
      </w:r>
      <w:r>
        <w:t xml:space="preserve"> — </w:t>
      </w:r>
      <w:r>
        <w:rPr>
          <w:rFonts w:ascii="Consolas" w:hAnsi="Consolas"/>
          <w:color w:val="B03060"/>
          <w:sz w:val="19"/>
        </w:rPr>
        <w:t>PriorityPlanner</w:t>
      </w:r>
      <w:r>
        <w:t xml:space="preserve"> ranks tasks P0–P3 and calls the</w:t>
      </w:r>
    </w:p>
    <w:p>
      <w:r>
        <w:rPr>
          <w:rFonts w:ascii="Consolas" w:hAnsi="Consolas"/>
          <w:color w:val="B03060"/>
          <w:sz w:val="19"/>
        </w:rPr>
        <w:t>WorkloadAnalyzer</w:t>
      </w:r>
      <w:r>
        <w:t xml:space="preserve"> tool to deterministically flag overcommitted people.</w:t>
      </w:r>
    </w:p>
    <w:p>
      <w:pPr>
        <w:pStyle w:val="ListNumber"/>
      </w:pPr>
      <w:r>
        <w:rPr>
          <w:b/>
        </w:rPr>
        <w:t>Enrich</w:t>
      </w:r>
      <w:r>
        <w:t xml:space="preserve"> — </w:t>
      </w:r>
      <w:r>
        <w:rPr>
          <w:rFonts w:ascii="Consolas" w:hAnsi="Consolas"/>
          <w:color w:val="B03060"/>
          <w:sz w:val="19"/>
        </w:rPr>
        <w:t>ResearchAgent</w:t>
      </w:r>
      <w:r>
        <w:t xml:space="preserve"> uses </w:t>
      </w:r>
      <w:r>
        <w:rPr>
          <w:rFonts w:ascii="Consolas" w:hAnsi="Consolas"/>
          <w:color w:val="B03060"/>
          <w:sz w:val="19"/>
        </w:rPr>
        <w:t>ddgs_search</w:t>
      </w:r>
      <w:r>
        <w:t xml:space="preserve"> to add external context such as</w:t>
      </w:r>
    </w:p>
    <w:p>
      <w:r>
        <w:t>typical timelines, standards, or compliance considerations.</w:t>
      </w:r>
    </w:p>
    <w:p>
      <w:pPr>
        <w:pStyle w:val="ListNumber"/>
      </w:pPr>
      <w:r>
        <w:rPr>
          <w:b/>
        </w:rPr>
        <w:t>Communicate</w:t>
      </w:r>
      <w:r>
        <w:t xml:space="preserve"> — </w:t>
      </w:r>
      <w:r>
        <w:rPr>
          <w:rFonts w:ascii="Consolas" w:hAnsi="Consolas"/>
          <w:color w:val="B03060"/>
          <w:sz w:val="19"/>
        </w:rPr>
        <w:t>CalendarComms</w:t>
      </w:r>
      <w:r>
        <w:t xml:space="preserve"> calls the </w:t>
      </w:r>
      <w:r>
        <w:rPr>
          <w:rFonts w:ascii="Consolas" w:hAnsi="Consolas"/>
          <w:color w:val="B03060"/>
          <w:sz w:val="19"/>
        </w:rPr>
        <w:t>FollowUpDrafter</w:t>
      </w:r>
      <w:r>
        <w:t xml:space="preserve"> tool to produce</w:t>
      </w:r>
    </w:p>
    <w:p>
      <w:r>
        <w:t>per-owner follow-up emails and calendar invites from the tracked tasks.</w:t>
      </w:r>
    </w:p>
    <w:p>
      <w:pPr>
        <w:pStyle w:val="ListNumber"/>
      </w:pPr>
      <w:r>
        <w:rPr>
          <w:b/>
        </w:rPr>
        <w:t>Hold accountable</w:t>
      </w:r>
      <w:r>
        <w:t xml:space="preserve"> — </w:t>
      </w:r>
      <w:r>
        <w:rPr>
          <w:rFonts w:ascii="Consolas" w:hAnsi="Consolas"/>
          <w:color w:val="B03060"/>
          <w:sz w:val="19"/>
        </w:rPr>
        <w:t>FollowUpTracker</w:t>
      </w:r>
      <w:r>
        <w:t xml:space="preserve"> calls </w:t>
      </w:r>
      <w:r>
        <w:rPr>
          <w:rFonts w:ascii="Consolas" w:hAnsi="Consolas"/>
          <w:color w:val="B03060"/>
          <w:sz w:val="19"/>
        </w:rPr>
        <w:t>ActionItemStore</w:t>
      </w:r>
      <w:r>
        <w:t xml:space="preserve"> (status mode),</w:t>
      </w:r>
    </w:p>
    <w:p>
      <w:r>
        <w:t>which compares each item's due date to today and returns real overdue, due-soon, and missing-due-date buckets with exact day counts.</w:t>
      </w:r>
    </w:p>
    <w:p>
      <w:r>
        <w:t xml:space="preserve">The </w:t>
      </w:r>
      <w:r>
        <w:rPr>
          <w:rFonts w:ascii="Consolas" w:hAnsi="Consolas"/>
          <w:color w:val="B03060"/>
          <w:sz w:val="19"/>
        </w:rPr>
        <w:t>MeetingCoordinator</w:t>
      </w:r>
      <w:r>
        <w:t xml:space="preserve"> then synthesizes an executive-ready action plan: executive summary, prioritized actions, research insights, communication plan, and risk flags.</w:t>
      </w:r>
    </w:p>
    <w:p>
      <w:pPr>
        <w:pStyle w:val="Heading1"/>
      </w:pPr>
      <w:r>
        <w:rPr>
          <w:color w:val="2E5BA8"/>
        </w:rPr>
        <w:t>3. Why it is novel</w:t>
      </w:r>
    </w:p>
    <w:p>
      <w:pPr>
        <w:pStyle w:val="ListBullet"/>
      </w:pPr>
      <w:r>
        <w:rPr>
          <w:b/>
        </w:rPr>
        <w:t>Accountability, not just summaries.</w:t>
      </w:r>
      <w:r>
        <w:t xml:space="preserve"> Most tools stop at "here's what was said."</w:t>
      </w:r>
    </w:p>
    <w:p>
      <w:r>
        <w:t>This system persists commitments and actively surfaces what's slipping — the rare, genuinely useful part of the workflow.</w:t>
      </w:r>
    </w:p>
    <w:p>
      <w:pPr>
        <w:pStyle w:val="ListBullet"/>
      </w:pPr>
      <w:r>
        <w:rPr>
          <w:b/>
        </w:rPr>
        <w:t>A real evaluation loop.</w:t>
      </w:r>
      <w:r>
        <w:t xml:space="preserve"> Overdue and overcommitment findings are computed in</w:t>
      </w:r>
    </w:p>
    <w:p>
      <w:r>
        <w:t>Python by comparing due dates to today's date — accurate and reproducible, not hallucinated. In testing, the system returned exact day counts (e.g. 908, 906, 905 days overdue) and per-owner cumulative overdue totals.</w:t>
      </w:r>
    </w:p>
    <w:p>
      <w:pPr>
        <w:pStyle w:val="ListBullet"/>
      </w:pPr>
      <w:r>
        <w:rPr>
          <w:b/>
        </w:rPr>
        <w:t>A true multi-agent org chart.</w:t>
      </w:r>
      <w:r>
        <w:t xml:space="preserve"> Seven agents with a front-man delegating via</w:t>
      </w:r>
    </w:p>
    <w:p>
      <w:r>
        <w:t>AAOSA, each with a scoped role and its own tools — not one agent with a pile of prompts.</w:t>
      </w:r>
    </w:p>
    <w:p>
      <w:pPr>
        <w:pStyle w:val="Heading1"/>
      </w:pPr>
      <w:r>
        <w:rPr>
          <w:color w:val="2E5BA8"/>
        </w:rPr>
        <w:t>4. How it uses neuro-san (framework features)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Usage in this project</w:t>
            </w:r>
          </w:p>
        </w:tc>
      </w:tr>
      <w:tr>
        <w:tc>
          <w:tcPr>
            <w:tcW w:type="dxa" w:w="4968"/>
          </w:tcPr>
          <w:p>
            <w:r/>
            <w:r>
              <w:t>AAOSA adaptive delegation</w:t>
            </w:r>
          </w:p>
        </w:tc>
        <w:tc>
          <w:tcPr>
            <w:tcW w:type="dxa" w:w="4968"/>
          </w:tcPr>
          <w:p>
            <w:r/>
            <w:r>
              <w:t>Run-time, agent-decided routing across 7 agents</w:t>
            </w:r>
          </w:p>
        </w:tc>
      </w:tr>
      <w:tr>
        <w:tc>
          <w:tcPr>
            <w:tcW w:type="dxa" w:w="4968"/>
          </w:tcPr>
          <w:p>
            <w:r/>
            <w:r>
              <w:t>Toolbox tools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read_file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web_fetch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ddgs_search</w:t>
            </w:r>
            <w:r>
              <w:t xml:space="preserve"> ground agents in real files, web pages, and search</w:t>
            </w:r>
          </w:p>
        </w:tc>
      </w:tr>
      <w:tr>
        <w:tc>
          <w:tcPr>
            <w:tcW w:type="dxa" w:w="4968"/>
          </w:tcPr>
          <w:p>
            <w:r/>
            <w:r>
              <w:t>Custom coded tools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ActionItemStore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WorkloadAnalyzer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FollowUpDrafter</w:t>
            </w:r>
            <w:r>
              <w:t xml:space="preserve"> add deterministic logic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sly_data</w:t>
            </w:r>
            <w:r>
              <w:t xml:space="preserve"> state</w:t>
            </w:r>
          </w:p>
        </w:tc>
        <w:tc>
          <w:tcPr>
            <w:tcW w:type="dxa" w:w="4968"/>
          </w:tcPr>
          <w:p>
            <w:r/>
            <w:r>
              <w:t>Action items persist out-of-band and are shared across agents within a session</w:t>
            </w:r>
          </w:p>
        </w:tc>
      </w:tr>
      <w:tr>
        <w:tc>
          <w:tcPr>
            <w:tcW w:type="dxa" w:w="4968"/>
          </w:tcPr>
          <w:p>
            <w:r/>
            <w:r>
              <w:t>LLM fallback config</w:t>
            </w:r>
          </w:p>
        </w:tc>
        <w:tc>
          <w:tcPr>
            <w:tcW w:type="dxa" w:w="4968"/>
          </w:tcPr>
          <w:p>
            <w:r/>
            <w:r>
              <w:t>One network runs on Anthropic, OpenAI, Gemini, or Mistral via the shared config</w:t>
            </w:r>
          </w:p>
        </w:tc>
      </w:tr>
    </w:tbl>
    <w:p/>
    <w:p>
      <w:pPr>
        <w:pStyle w:val="Heading1"/>
      </w:pPr>
      <w:r>
        <w:rPr>
          <w:color w:val="2E5BA8"/>
        </w:rPr>
        <w:t>5. Fulfilment of required agentic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Where it is demonstrated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Multi-agent coordination</w:t>
            </w:r>
          </w:p>
        </w:tc>
        <w:tc>
          <w:tcPr>
            <w:tcW w:type="dxa" w:w="4968"/>
          </w:tcPr>
          <w:p>
            <w:r/>
            <w:r>
              <w:t>AAOSA front-man delegation across 7 agents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Tool usage</w:t>
            </w:r>
          </w:p>
        </w:tc>
        <w:tc>
          <w:tcPr>
            <w:tcW w:type="dxa" w:w="4968"/>
          </w:tcPr>
          <w:p>
            <w:r/>
            <w:r>
              <w:t>3 toolbox tools + 3 custom coded tools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Task planning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PriorityPlanner</w:t>
            </w:r>
            <w:r>
              <w:t xml:space="preserve"> P0–P3 ranking + sequenced roadmap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Evaluation loops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FollowUpTracker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ActionItemStore</w:t>
            </w:r>
            <w:r>
              <w:t xml:space="preserve"> status — real overdue detection</w:t>
            </w:r>
          </w:p>
        </w:tc>
      </w:tr>
    </w:tbl>
    <w:p/>
    <w:p>
      <w:pPr>
        <w:pStyle w:val="Heading1"/>
      </w:pPr>
      <w:r>
        <w:rPr>
          <w:color w:val="2E5BA8"/>
        </w:rPr>
        <w:t>6. Architecture at a glance</w:t>
      </w:r>
    </w:p>
    <w:p>
      <w:pPr>
        <w:ind w:left="288"/>
      </w:pPr>
      <w:r>
        <w:rPr>
          <w:rFonts w:ascii="Consolas" w:hAnsi="Consolas"/>
          <w:sz w:val="17"/>
        </w:rPr>
        <w:t>User (notes / file / URL)</w:t>
        <w:br/>
        <w:t xml:space="preserve">        │</w:t>
        <w:br/>
        <w:t xml:space="preserve">        ▼</w:t>
        <w:br/>
        <w:t>MeetingCoordinator ──► IntakeAgent ──► read_file / web_fetch</w:t>
        <w:br/>
        <w:t xml:space="preserve">        │           ──► OwnerResolver ──► ActionItemStore ──┐</w:t>
        <w:br/>
        <w:t xml:space="preserve">        │           ──► PriorityPlanner ──► WorkloadAnalyzer │  sly_data</w:t>
        <w:br/>
        <w:t xml:space="preserve">        │           ──► ResearchAgent ──► ddgs_search        │ (action_items)</w:t>
        <w:br/>
        <w:t xml:space="preserve">        │           ──► CalendarComms ──► FollowUpDrafter ───┤</w:t>
        <w:br/>
        <w:t xml:space="preserve">        │           ──► FollowUpTracker ──► ActionItemStore ─┘</w:t>
        <w:br/>
        <w:t xml:space="preserve">        ▼</w:t>
        <w:br/>
        <w:t>Executive action plan (owners, priorities, overdue, risks)</w:t>
      </w:r>
    </w:p>
    <w:p>
      <w:r>
        <w:t xml:space="preserve">Agents are LLM-driven; the tools are deterministic Python (custom) or studio-provided (toolbox). Action items live in </w:t>
      </w:r>
      <w:r>
        <w:rPr>
          <w:rFonts w:ascii="Consolas" w:hAnsi="Consolas"/>
          <w:color w:val="B03060"/>
          <w:sz w:val="19"/>
        </w:rPr>
        <w:t>sly_data</w:t>
      </w:r>
      <w:r>
        <w:t xml:space="preserve">, giving every agent one shared source of truth. See </w:t>
      </w:r>
      <w:r>
        <w:rPr>
          <w:rFonts w:ascii="Consolas" w:hAnsi="Consolas"/>
          <w:color w:val="B03060"/>
          <w:sz w:val="19"/>
        </w:rPr>
        <w:t>architecture.md</w:t>
      </w:r>
      <w:r>
        <w:t xml:space="preserve"> for full sequence and topology diagrams.</w:t>
      </w:r>
    </w:p>
    <w:p>
      <w:pPr>
        <w:pStyle w:val="Heading1"/>
      </w:pPr>
      <w:r>
        <w:rPr>
          <w:color w:val="2E5BA8"/>
        </w:rPr>
        <w:t>7. Impact and scalability</w:t>
      </w:r>
    </w:p>
    <w:p>
      <w:r>
        <w:t>The design is production-shaped: every synthetic or local tool is a drop-in seam for a real enterprise integration.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Production equivalent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read_file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web_fetch</w:t>
            </w:r>
          </w:p>
        </w:tc>
        <w:tc>
          <w:tcPr>
            <w:tcW w:type="dxa" w:w="4968"/>
          </w:tcPr>
          <w:p>
            <w:r/>
            <w:r>
              <w:t>Otter/Zoom transcript export, Confluence, SharePoint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ActionItemStore</w:t>
            </w:r>
          </w:p>
        </w:tc>
        <w:tc>
          <w:tcPr>
            <w:tcW w:type="dxa" w:w="4968"/>
          </w:tcPr>
          <w:p>
            <w:r/>
            <w:r>
              <w:t>Jira / Asana / a task database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WorkloadAnalyzer</w:t>
            </w:r>
          </w:p>
        </w:tc>
        <w:tc>
          <w:tcPr>
            <w:tcW w:type="dxa" w:w="4968"/>
          </w:tcPr>
          <w:p>
            <w:r/>
            <w:r>
              <w:t>Capacity data from the task system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FollowUpDrafter</w:t>
            </w:r>
          </w:p>
        </w:tc>
        <w:tc>
          <w:tcPr>
            <w:tcW w:type="dxa" w:w="4968"/>
          </w:tcPr>
          <w:p>
            <w:r/>
            <w:r>
              <w:t>Outlook / Google Calendar + email APIs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ddgs_search</w:t>
            </w:r>
          </w:p>
        </w:tc>
        <w:tc>
          <w:tcPr>
            <w:tcW w:type="dxa" w:w="4968"/>
          </w:tcPr>
          <w:p>
            <w:r/>
            <w:r>
              <w:t>Enterprise search / internal knowledge base</w:t>
            </w:r>
          </w:p>
        </w:tc>
      </w:tr>
    </w:tbl>
    <w:p/>
    <w:p>
      <w:r>
        <w:t xml:space="preserve">Because orchestration is declarative HOCON, the pattern scales to any team and extends easily with new specialists (e.g. a </w:t>
      </w:r>
      <w:r>
        <w:rPr>
          <w:rFonts w:ascii="Consolas" w:hAnsi="Consolas"/>
          <w:color w:val="B03060"/>
          <w:sz w:val="19"/>
        </w:rPr>
        <w:t>RiskAssessor</w:t>
      </w:r>
      <w:r>
        <w:t xml:space="preserve"> or </w:t>
      </w:r>
      <w:r>
        <w:rPr>
          <w:rFonts w:ascii="Consolas" w:hAnsi="Consolas"/>
          <w:color w:val="B03060"/>
          <w:sz w:val="19"/>
        </w:rPr>
        <w:t>BudgetChecker</w:t>
      </w:r>
      <w:r>
        <w:t>). The realistic business impact is turning the post-meeting scramble — often days of manual chasing — into seconds of automated, auditable follow-through, directly improving delivery predictability and reducing dropped commitments.</w:t>
      </w:r>
    </w:p>
    <w:p>
      <w:pPr>
        <w:pStyle w:val="Heading1"/>
      </w:pPr>
      <w:r>
        <w:rPr>
          <w:color w:val="2E5BA8"/>
        </w:rPr>
        <w:t>8. Running the project</w:t>
      </w:r>
    </w:p>
    <w:p>
      <w:pPr>
        <w:ind w:left="288"/>
      </w:pPr>
      <w:r>
        <w:rPr>
          <w:rFonts w:ascii="Consolas" w:hAnsi="Consolas"/>
          <w:sz w:val="17"/>
        </w:rPr>
        <w:t>pip install -r requirements.txt</w:t>
        <w:br/>
        <w:t>copy .env.example .env        # set ANTHROPIC_API_KEY</w:t>
        <w:br/>
        <w:t>ns run                        # open the nsflow UI (http://localhost:4173)</w:t>
      </w:r>
    </w:p>
    <w:p>
      <w:r>
        <w:t xml:space="preserve">Select </w:t>
      </w:r>
      <w:r>
        <w:rPr>
          <w:rFonts w:ascii="Consolas" w:hAnsi="Consolas"/>
          <w:color w:val="B03060"/>
          <w:sz w:val="19"/>
        </w:rPr>
        <w:t>meeting_to_action_orchestrator</w:t>
      </w:r>
      <w:r>
        <w:t xml:space="preserve">, then try: </w:t>
      </w:r>
      <w:r>
        <w:rPr>
          <w:i/>
        </w:rPr>
        <w:t>"Read the meeting notes at sample</w:t>
      </w:r>
      <w:r>
        <w:t>data/sample</w:t>
      </w:r>
      <w:r>
        <w:rPr>
          <w:i/>
        </w:rPr>
        <w:t>meeting.txt, extract the action items, assign owners and due dates, store them, then tell me which are overdue and who is overcommitted."</w:t>
      </w:r>
    </w:p>
    <w:p>
      <w:pPr>
        <w:pStyle w:val="Heading1"/>
      </w:pPr>
      <w:r>
        <w:rPr>
          <w:color w:val="2E5BA8"/>
        </w:rPr>
        <w:t>9. Data and compliance</w:t>
      </w:r>
    </w:p>
    <w:p>
      <w:r>
        <w:t xml:space="preserve">All content used is </w:t>
      </w:r>
      <w:r>
        <w:rPr>
          <w:b/>
        </w:rPr>
        <w:t>synthetic or user-provided</w:t>
      </w:r>
      <w:r>
        <w:t>. The project contains no real, client, or personally identifiable data, no credentials, and no restricted material, in line with the hackathon rules and Cognizant policy.</w:t>
      </w:r>
    </w:p>
    <w:p>
      <w:pPr>
        <w:pStyle w:val="Heading1"/>
      </w:pPr>
      <w:r>
        <w:rPr>
          <w:color w:val="2E5BA8"/>
        </w:rPr>
        <w:t>10. Tech stack</w:t>
      </w:r>
    </w:p>
    <w:p>
      <w:r>
        <w:t>Python 3.13 · neuro-san / neuro-san-studio (multi-agent orchestration + nsflow UI) · Anthropic Claude / OpenAI / Gemini / Mistral (LLM providers, via fallback config).</w:t>
      </w:r>
    </w:p>
    <w:p>
      <w:pPr>
        <w:pStyle w:val="Heading1"/>
      </w:pPr>
      <w:r>
        <w:rPr>
          <w:color w:val="2E5BA8"/>
        </w:rPr>
        <w:t>Terms and Conditions / Participant Acknowledgement</w:t>
      </w:r>
    </w:p>
    <w:p>
      <w:r>
        <w:t>By submitting this project, I confirm and agree that:</w:t>
      </w:r>
    </w:p>
    <w:p>
      <w:pPr>
        <w:pStyle w:val="ListNumber"/>
      </w:pPr>
      <w:r>
        <w:t>My submission follows the hackathon rules and uses neuro-san as required.</w:t>
      </w:r>
    </w:p>
    <w:p>
      <w:pPr>
        <w:pStyle w:val="ListNumber"/>
      </w:pPr>
      <w:r>
        <w:t>My project does not include any client data, confidential information, restricted</w:t>
      </w:r>
    </w:p>
    <w:p>
      <w:r>
        <w:t>material, credentials, access keys, or policy-sensitive content.</w:t>
      </w:r>
    </w:p>
    <w:p>
      <w:pPr>
        <w:pStyle w:val="ListNumber"/>
      </w:pPr>
      <w:r>
        <w:t>I have used only open-source, public, or synthetic data/materials, and I am</w:t>
      </w:r>
    </w:p>
    <w:p>
      <w:r>
        <w:t>responsible for complying with applicable licenses and corporate policies.</w:t>
      </w:r>
    </w:p>
    <w:p>
      <w:pPr>
        <w:pStyle w:val="ListNumber"/>
      </w:pPr>
      <w:r>
        <w:t>My submission has been developed ethically and does not promote harmful, unsafe,</w:t>
      </w:r>
    </w:p>
    <w:p>
      <w:r>
        <w:t>unlawful, discriminatory, or policy-violating use cases.</w:t>
      </w:r>
    </w:p>
    <w:p>
      <w:pPr>
        <w:pStyle w:val="ListNumber"/>
      </w:pPr>
      <w:r>
        <w:t>I am responsible for ensuring that my GitHub repository, ZIP file, documentation,</w:t>
      </w:r>
    </w:p>
    <w:p>
      <w:r>
        <w:t>and demo video are complete, accessible, and submitted in the required format before the deadline.</w:t>
      </w:r>
    </w:p>
    <w:p>
      <w:pPr>
        <w:pStyle w:val="ListNumber"/>
      </w:pPr>
      <w:r>
        <w:t>Submissions that are incomplete, inaccessible, incorrectly formatted, or do not</w:t>
      </w:r>
    </w:p>
    <w:p>
      <w:r>
        <w:t>follow the rules may not be evaluated.</w:t>
      </w:r>
    </w:p>
    <w:p>
      <w:pPr>
        <w:pStyle w:val="ListNumber"/>
      </w:pPr>
      <w:r>
        <w:t>The organizers' and judges' decisions on evaluation, ranking, prizes, and</w:t>
      </w:r>
    </w:p>
    <w:p>
      <w:r>
        <w:t>recognition will be final and binding.</w:t>
      </w:r>
    </w:p>
    <w:p>
      <w:pPr>
        <w:pStyle w:val="ListNumber"/>
      </w:pPr>
      <w:r>
        <w:t>The organizers reserve the right to modify rules, timelines, evaluation criteria,</w:t>
      </w:r>
    </w:p>
    <w:p>
      <w:r>
        <w:t>or prizes if required, with reasonable notice where practical.</w:t>
      </w:r>
    </w:p>
    <w:p>
      <w:pPr>
        <w:pStyle w:val="ListNumber"/>
      </w:pPr>
      <w:r>
        <w:t>The organizers are not responsible for any policy, data, licensing, intellectual</w:t>
      </w:r>
    </w:p>
    <w:p>
      <w:r>
        <w:t>property, or compliance violations arising from my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