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3864"/>
          <w:sz w:val="44"/>
          <w:szCs w:val="44"/>
        </w:rPr>
        <w:t xml:space="preserve">Marketing Funnel &amp; Conversion</w:t>
      </w: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Performance Analysis</w:t>
      </w:r>
    </w:p>
    <w:p>
      <w:pPr>
        <w:spacing w:after="500"/>
        <w:jc w:val="center"/>
      </w:pPr>
      <w:r>
        <w:rPr>
          <w:i/>
          <w:iCs/>
          <w:color w:val="6B6B6B"/>
          <w:sz w:val="24"/>
          <w:szCs w:val="24"/>
        </w:rPr>
        <w:t xml:space="preserve">Bank Marketing Campaign Dataset — UCI Machine Learning Repository</w:t>
      </w:r>
    </w:p>
    <w:p>
      <w:pPr>
        <w:spacing w:after="40"/>
        <w:jc w:val="center"/>
      </w:pPr>
      <w:r>
        <w:rPr>
          <w:color w:val="6B6B6B"/>
          <w:sz w:val="22"/>
          <w:szCs w:val="22"/>
        </w:rPr>
        <w:t xml:space="preserve">Data Science &amp; Analytics Internship — Task 3 (2026)</w:t>
      </w:r>
    </w:p>
    <w:p>
      <w:pPr>
        <w:spacing w:after="700"/>
        <w:jc w:val="center"/>
      </w:pPr>
      <w:r>
        <w:rPr>
          <w:color w:val="6B6B6B"/>
          <w:sz w:val="22"/>
          <w:szCs w:val="22"/>
        </w:rPr>
        <w:t xml:space="preserve">Prepared for: Future Interns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60"/>
      </w:pPr>
      <w:r>
        <w:t xml:space="preserve">This report analyzes 41,188 client records from a Portuguese bank's phone-based term deposit marketing campaigns to understand how leads move through the marketing funnel — from being contacted, to engaging in a real conversation, to converting into a customer. The analysis identifies where the biggest drop-offs occur, which channels and audience segments convert best, and provides concrete, actionable recommendations to improve overall conversion performance.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pct" w:w="33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41,188</w:t>
            </w:r>
          </w:p>
        </w:tc>
        <w:tc>
          <w:tcPr>
            <w:tcW w:type="pct" w:w="33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8743B"/>
                <w:sz w:val="32"/>
                <w:szCs w:val="32"/>
              </w:rPr>
              <w:t xml:space="preserve">11.27%</w:t>
            </w:r>
          </w:p>
        </w:tc>
        <w:tc>
          <w:tcPr>
            <w:tcW w:type="pct" w:w="33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4,640</w:t>
            </w:r>
          </w:p>
        </w:tc>
      </w:tr>
      <w:tr>
        <w:tc>
          <w:tcPr>
            <w:tcW w:type="pct" w:w="33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Total Leads Contacted</w:t>
            </w:r>
          </w:p>
        </w:tc>
        <w:tc>
          <w:tcPr>
            <w:tcW w:type="pct" w:w="33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Overall Conversion Rate</w:t>
            </w:r>
          </w:p>
        </w:tc>
        <w:tc>
          <w:tcPr>
            <w:tcW w:type="pct" w:w="33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Converted Customers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1. Methodology</w:t>
      </w:r>
    </w:p>
    <w:p>
      <w:pPr>
        <w:spacing w:after="160"/>
      </w:pPr>
      <w:r>
        <w:t xml:space="preserve">The dataset does not contain an explicit website-style funnel (visitor → lead → customer), since it originates from an outbound call marketing campaign. To make it analyzable as a funnel, the following three stages were defined: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1 – Total Leads Contacted: every client called during the campaign (41,188 records).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2 – Engaged Leads: clients whose call lasted 3 minutes or longer, used as a proxy for genuine interest rather than an immediate hang-up.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3 – Converted Customers: clients who subscribed to the term deposit product (target variable y = “yes”).</w:t>
      </w:r>
    </w:p>
    <w:p>
      <w:pPr>
        <w:spacing w:after="160"/>
      </w:pPr>
      <w:r>
        <w:t xml:space="preserve">All analysis was performed in Python (pandas, matplotlib) inside a documented Jupyter Notebook. Duplicate rows were removed; “unknown” categorical values were retained as their own category rather than dropped, to avoid losing usable segment data.</w:t>
      </w:r>
    </w:p>
    <w:p>
      <w:pPr>
        <w:pStyle w:val="Heading1"/>
        <w:spacing w:after="150" w:before="300"/>
      </w:pPr>
      <w:r>
        <w:t xml:space="preserve">2. The Funnel: Where Leads Drop Off</w:t>
      </w:r>
    </w:p>
    <w:p>
      <w:pPr>
        <w:spacing w:after="200" w:before="1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Figure 1 — Funnel volume and conversion at each stage.</w:t>
      </w:r>
    </w:p>
    <w:p>
      <w:pPr>
        <w:spacing w:after="160"/>
      </w:pPr>
      <w:r>
        <w:t xml:space="preserve">Only 50.0% of contacted leads engage in a call of 3+ minutes — this is the single largest drop-off point in the entire funnel. Of those engaged leads, 22.5% go on to convert, giving an overall contacted-to-converted rate of 11.27%.</w:t>
      </w:r>
    </w:p>
    <w:p>
      <w:pPr>
        <w:pStyle w:val="Heading1"/>
        <w:spacing w:after="150" w:before="300"/>
      </w:pPr>
      <w:r>
        <w:t xml:space="preserve">3. Conversion by Contact Channel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Figure 2 — Conversion rate: cellular vs. landline telephone.</w:t>
      </w:r>
    </w:p>
    <w:p>
      <w:pPr>
        <w:spacing w:after="160"/>
      </w:pPr>
      <w:r>
        <w:t xml:space="preserve">Cellular outreach converts at 14.74%, nearly three times the rate of landline telephone (5.23%). This is one of the clearest, most actionable levers in the dataset — wherever a mobile number is available, it should be the default contact channel.</w:t>
      </w:r>
    </w:p>
    <w:p>
      <w:pPr>
        <w:pStyle w:val="Heading1"/>
        <w:spacing w:after="150" w:before="300"/>
      </w:pPr>
      <w:r>
        <w:t xml:space="preserve">4. Conversion by Month — Volume vs. Quality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Figure 3 — Campaign volume (bars) vs. conversion rate (line) by month.</w:t>
      </w:r>
    </w:p>
    <w:p>
      <w:pPr>
        <w:spacing w:after="160"/>
      </w:pPr>
      <w:r>
        <w:t xml:space="preserve">The busiest campaign months (May–August) show the lowest conversion rates (6–10%), while low-volume months such as March, September, October, and December convert at 44–51%. This points to a quality-vs-quantity trade-off: smaller, more targeted campaigns convert dramatically better than mass outreach.</w:t>
      </w:r>
    </w:p>
    <w:p>
      <w:pPr>
        <w:pStyle w:val="Heading1"/>
        <w:spacing w:after="150" w:before="300"/>
      </w:pPr>
      <w:r>
        <w:t xml:space="preserve">5. Conversion by Previous Campaign Outcome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Figure 4 — Conversion rate by outcome of the client's previous campaign contact.</w:t>
      </w:r>
    </w:p>
    <w:p>
      <w:pPr>
        <w:spacing w:after="160"/>
      </w:pPr>
      <w:r>
        <w:t xml:space="preserve">Clients with a previous successful conversion convert at 65.11% — nearly six times the campaign average. This segment (1,373 clients, just 3.3% of the dataset) is by far the highest-value audience and is currently a small share of total outreach.</w:t>
      </w:r>
    </w:p>
    <w:p>
      <w:pPr>
        <w:pStyle w:val="Heading1"/>
        <w:spacing w:after="150" w:before="300"/>
      </w:pPr>
      <w:r>
        <w:t xml:space="preserve">6. Conversion by Occupation Segment</w:t>
      </w:r>
    </w:p>
    <w:p>
      <w:pPr>
        <w:spacing w:after="200" w:before="100"/>
        <w:jc w:val="center"/>
      </w:pPr>
      <w:r>
        <w:drawing>
          <wp:inline distT="0" distB="0" distL="0" distR="0">
            <wp:extent cx="54292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Figure 5 — Conversion rate by client occupation.</w:t>
      </w:r>
    </w:p>
    <w:p>
      <w:pPr>
        <w:spacing w:after="160"/>
      </w:pPr>
      <w:r>
        <w:t xml:space="preserve">Students (31.4%) and retirees (25.2%) convert far above the campaign average, while blue-collar (6.9%) and services (8.1%) workers convert well below it. Occupation is a strong, low-cost segmentation variable for targeting future campaigns.</w:t>
      </w:r>
    </w:p>
    <w:p>
      <w:pPr>
        <w:pStyle w:val="Heading1"/>
        <w:spacing w:after="150" w:before="300"/>
      </w:pPr>
      <w:r>
        <w:t xml:space="preserve">7. Call Engagement Duration vs. Conversion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Figure 6 — Conversion rate rises sharply with call duration.</w:t>
      </w:r>
    </w:p>
    <w:p>
      <w:pPr>
        <w:spacing w:after="160"/>
      </w:pPr>
      <w:r>
        <w:t xml:space="preserve">Conversion climbs from effectively 0% for calls under 1 minute to 48.6% for calls exceeding 10 minutes. This confirms that keeping a prospect engaged on the call is one of the strongest predictors of conversion, and that agent scripting/training which extends meaningful conversation time is likely to have an outsized impact.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Key Insights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Biggest drop-off happens at first contact — about half of all leads never engage in a meaningful (3+ minute) call.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Cellular contact converts ~3x better than landline telephone (14.7% vs. 5.2%).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Quality beats quantity — high-volume campaign months convert far worse than low-volume, better-targeted months.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Retargeting past successful customers is the single highest-value segment, converting at 65.1%.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Students and retirees convert far above average; blue-collar and services workers convert below average.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Longer, more engaged calls convert dramatically better, confirming call quality and agent training matter.</w:t>
      </w:r>
    </w:p>
    <w:p>
      <w:pPr>
        <w:pStyle w:val="Heading1"/>
        <w:spacing w:after="150" w:before="300"/>
      </w:pPr>
      <w:r>
        <w:t xml:space="preserve">9.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Prioritize cellular contact over landline wherever a mobile number is available.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a systematic retargeting flow for clients with a previous successful outcome — this segment is under-leveraged relative to its value.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Shift budget toward smaller, targeted campaigns rather than mass outreach in peak months, or apply the same tighter targeting used in low-volume months to high-volume months.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Segment campaigns by occupation — lead with students and retirees in acquisition efforts, and use tailored offers/messaging for lower-converting segments.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Invest in call-opening scripts that get prospects past the critical first 1–2 minutes, since conversion rises sharply the longer a prospect stays engaged.</w:t>
      </w:r>
    </w:p>
    <w:p>
      <w:pPr>
        <w:pStyle w:val="Heading1"/>
        <w:spacing w:after="150" w:before="300"/>
      </w:pPr>
      <w:r>
        <w:t xml:space="preserve">10. Dataset &amp; Tools</w:t>
      </w:r>
    </w:p>
    <w:p>
      <w:pPr>
        <w:spacing w:after="160"/>
      </w:pPr>
      <w:r>
        <w:rPr>
          <w:color w:val="6B6B6B"/>
          <w:sz w:val="20"/>
          <w:szCs w:val="20"/>
        </w:rPr>
        <w:t xml:space="preserve">Dataset: Bank Marketing Campaign Dataset, UCI Machine Learning Repository (archive.ics.uci.edu/dataset/222/bank+marketing).</w:t>
      </w:r>
    </w:p>
    <w:p>
      <w:pPr>
        <w:spacing w:after="160"/>
      </w:pPr>
      <w:r>
        <w:rPr>
          <w:color w:val="6B6B6B"/>
          <w:sz w:val="20"/>
          <w:szCs w:val="20"/>
        </w:rPr>
        <w:t xml:space="preserve">Tools used: Python (pandas, matplotlib), Jupyter Notebook for exploratory analysis, and this report generated from the underlying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a0c4e063dbb65a7cee1d0687621a45cb26da14.png"/><Relationship Id="rId8" Type="http://schemas.openxmlformats.org/officeDocument/2006/relationships/image" Target="media/c8ec0295c599e9b9541b1c3514ec4d82de98484c.png"/><Relationship Id="rId9" Type="http://schemas.openxmlformats.org/officeDocument/2006/relationships/image" Target="media/618947ad6495f57422f5eb24f82dda7c591f3e73.png"/><Relationship Id="rId10" Type="http://schemas.openxmlformats.org/officeDocument/2006/relationships/image" Target="media/2321eeead003135c53c2dd35dd3394292dc2f3f5.png"/><Relationship Id="rId11" Type="http://schemas.openxmlformats.org/officeDocument/2006/relationships/image" Target="media/0612b5d46f2a1644eea0240966f55150fed5ceb4.png"/><Relationship Id="rId12" Type="http://schemas.openxmlformats.org/officeDocument/2006/relationships/image" Target="media/d9345b776ac6911ff590968d7e61e83e8ddd1f0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2026-07-25T06:29:35.594Z</dcterms:created>
  <dcterms:modified xsi:type="dcterms:W3CDTF">2026-07-25T06:29:35.604Z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