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PII Redaction: Evaluation Report</w:t>
      </w:r>
    </w:p>
    <w:p>
      <w:r>
        <w:rPr>
          <w:i/>
        </w:rPr>
        <w:t>Rule-based redactor (regex + context rules) scored on the Red Herring Prospectus.</w:t>
      </w:r>
    </w:p>
    <w:p>
      <w:pPr>
        <w:pStyle w:val="Heading1"/>
      </w:pPr>
      <w:r>
        <w:t>1. Summary</w:t>
      </w:r>
    </w:p>
    <w:tbl>
      <w:tblPr>
        <w:tblStyle w:val="TableGrid"/>
        <w:tblW w:type="auto" w:w="0"/>
        <w:jc w:val="center"/>
        <w:tblLook w:firstColumn="1" w:firstRow="1" w:lastColumn="0" w:lastRow="0" w:noHBand="0" w:noVBand="1" w:val="04A0"/>
      </w:tblPr>
      <w:tblGrid>
        <w:gridCol w:w="1210"/>
        <w:gridCol w:w="1210"/>
        <w:gridCol w:w="1210"/>
        <w:gridCol w:w="1210"/>
        <w:gridCol w:w="1210"/>
        <w:gridCol w:w="1210"/>
        <w:gridCol w:w="1210"/>
        <w:gridCol w:w="1210"/>
      </w:tblGrid>
      <w:tr>
        <w:tc>
          <w:tcPr>
            <w:tcW w:type="dxa" w:w="1100"/>
            <w:shd w:val="clear" w:color="auto" w:fill="2F4B6E"/>
          </w:tcPr>
          <w:p>
            <w:r>
              <w:rPr>
                <w:b/>
                <w:color w:val="FFFFFF"/>
                <w:sz w:val="18"/>
              </w:rPr>
              <w:t>Accuracy</w:t>
            </w:r>
          </w:p>
        </w:tc>
        <w:tc>
          <w:tcPr>
            <w:tcW w:type="dxa" w:w="1100"/>
            <w:shd w:val="clear" w:color="auto" w:fill="2F4B6E"/>
          </w:tcPr>
          <w:p>
            <w:r>
              <w:rPr>
                <w:b/>
                <w:color w:val="FFFFFF"/>
                <w:sz w:val="18"/>
              </w:rPr>
              <w:t>Precision</w:t>
            </w:r>
          </w:p>
        </w:tc>
        <w:tc>
          <w:tcPr>
            <w:tcW w:type="dxa" w:w="1000"/>
            <w:shd w:val="clear" w:color="auto" w:fill="2F4B6E"/>
          </w:tcPr>
          <w:p>
            <w:r>
              <w:rPr>
                <w:b/>
                <w:color w:val="FFFFFF"/>
                <w:sz w:val="18"/>
              </w:rPr>
              <w:t>Recall</w:t>
            </w:r>
          </w:p>
        </w:tc>
        <w:tc>
          <w:tcPr>
            <w:tcW w:type="dxa" w:w="800"/>
            <w:shd w:val="clear" w:color="auto" w:fill="2F4B6E"/>
          </w:tcPr>
          <w:p>
            <w:r>
              <w:rPr>
                <w:b/>
                <w:color w:val="FFFFFF"/>
                <w:sz w:val="18"/>
              </w:rPr>
              <w:t>F1</w:t>
            </w:r>
          </w:p>
        </w:tc>
        <w:tc>
          <w:tcPr>
            <w:tcW w:type="dxa" w:w="1100"/>
            <w:shd w:val="clear" w:color="auto" w:fill="2F4B6E"/>
          </w:tcPr>
          <w:p>
            <w:r>
              <w:rPr>
                <w:b/>
                <w:color w:val="FFFFFF"/>
                <w:sz w:val="18"/>
              </w:rPr>
              <w:t>PII spans</w:t>
            </w:r>
          </w:p>
        </w:tc>
        <w:tc>
          <w:tcPr>
            <w:tcW w:type="dxa" w:w="1500"/>
            <w:shd w:val="clear" w:color="auto" w:fill="2F4B6E"/>
          </w:tcPr>
          <w:p>
            <w:r>
              <w:rPr>
                <w:b/>
                <w:color w:val="FFFFFF"/>
                <w:sz w:val="18"/>
              </w:rPr>
              <w:t>Redacted correctly</w:t>
            </w:r>
          </w:p>
        </w:tc>
        <w:tc>
          <w:tcPr>
            <w:tcW w:type="dxa" w:w="1400"/>
            <w:shd w:val="clear" w:color="auto" w:fill="2F4B6E"/>
          </w:tcPr>
          <w:p>
            <w:r>
              <w:rPr>
                <w:b/>
                <w:color w:val="FFFFFF"/>
                <w:sz w:val="18"/>
              </w:rPr>
              <w:t>Wrongly redacted</w:t>
            </w:r>
          </w:p>
        </w:tc>
        <w:tc>
          <w:tcPr>
            <w:tcW w:type="dxa" w:w="900"/>
            <w:shd w:val="clear" w:color="auto" w:fill="2F4B6E"/>
          </w:tcPr>
          <w:p>
            <w:r>
              <w:rPr>
                <w:b/>
                <w:color w:val="FFFFFF"/>
                <w:sz w:val="18"/>
              </w:rPr>
              <w:t>Missed</w:t>
            </w:r>
          </w:p>
        </w:tc>
      </w:tr>
      <w:tr>
        <w:tc>
          <w:tcPr>
            <w:tcW w:type="dxa" w:w="1100"/>
          </w:tcPr>
          <w:p>
            <w:r>
              <w:rPr>
                <w:b w:val="0"/>
                <w:sz w:val="18"/>
              </w:rPr>
              <w:t>0.9993</w:t>
            </w:r>
          </w:p>
        </w:tc>
        <w:tc>
          <w:tcPr>
            <w:tcW w:type="dxa" w:w="1100"/>
          </w:tcPr>
          <w:p>
            <w:pPr>
              <w:jc w:val="right"/>
            </w:pPr>
            <w:r>
              <w:rPr>
                <w:b w:val="0"/>
                <w:sz w:val="18"/>
              </w:rPr>
              <w:t>1.000</w:t>
            </w:r>
          </w:p>
        </w:tc>
        <w:tc>
          <w:tcPr>
            <w:tcW w:type="dxa" w:w="1000"/>
          </w:tcPr>
          <w:p>
            <w:pPr>
              <w:jc w:val="right"/>
            </w:pPr>
            <w:r>
              <w:rPr>
                <w:b w:val="0"/>
                <w:sz w:val="18"/>
              </w:rPr>
              <w:t>0.971</w:t>
            </w:r>
          </w:p>
        </w:tc>
        <w:tc>
          <w:tcPr>
            <w:tcW w:type="dxa" w:w="800"/>
          </w:tcPr>
          <w:p>
            <w:pPr>
              <w:jc w:val="right"/>
            </w:pPr>
            <w:r>
              <w:rPr>
                <w:b w:val="0"/>
                <w:sz w:val="18"/>
              </w:rPr>
              <w:t>0.985</w:t>
            </w:r>
          </w:p>
        </w:tc>
        <w:tc>
          <w:tcPr>
            <w:tcW w:type="dxa" w:w="1100"/>
          </w:tcPr>
          <w:p>
            <w:pPr>
              <w:jc w:val="right"/>
            </w:pPr>
            <w:r>
              <w:rPr>
                <w:b w:val="0"/>
                <w:sz w:val="18"/>
              </w:rPr>
              <w:t>682</w:t>
            </w:r>
          </w:p>
        </w:tc>
        <w:tc>
          <w:tcPr>
            <w:tcW w:type="dxa" w:w="1500"/>
          </w:tcPr>
          <w:p>
            <w:pPr>
              <w:jc w:val="right"/>
            </w:pPr>
            <w:r>
              <w:rPr>
                <w:b w:val="0"/>
                <w:sz w:val="18"/>
              </w:rPr>
              <w:t>662</w:t>
            </w:r>
          </w:p>
        </w:tc>
        <w:tc>
          <w:tcPr>
            <w:tcW w:type="dxa" w:w="1400"/>
          </w:tcPr>
          <w:p>
            <w:pPr>
              <w:jc w:val="right"/>
            </w:pPr>
            <w:r>
              <w:rPr>
                <w:b w:val="0"/>
                <w:sz w:val="18"/>
              </w:rPr>
              <w:t>0</w:t>
            </w:r>
          </w:p>
        </w:tc>
        <w:tc>
          <w:tcPr>
            <w:tcW w:type="dxa" w:w="900"/>
          </w:tcPr>
          <w:p>
            <w:pPr>
              <w:jc w:val="right"/>
            </w:pPr>
            <w:r>
              <w:rPr>
                <w:b w:val="0"/>
                <w:sz w:val="18"/>
              </w:rPr>
              <w:t>20</w:t>
            </w:r>
          </w:p>
        </w:tc>
      </w:tr>
    </w:tbl>
    <w:p/>
    <w:p>
      <w:pPr>
        <w:pStyle w:val="ListBullet"/>
      </w:pPr>
      <w:r>
        <w:t>Accuracy is measured on words: each of the 51,272 words of the document is PII or not, and the redactor's label is compared with the label the review gave. Most words are not PII, so accuracy is always high; precision and recall are the numbers that show how good the redactor is.</w:t>
      </w:r>
    </w:p>
    <w:p>
      <w:pPr>
        <w:pStyle w:val="ListBullet"/>
      </w:pPr>
      <w:r>
        <w:t>Precision, recall and F1 are measured on spans (one name, one address, one phone number, ...). Precision is the share of redactions that were correct; recall is the share of the PII that was redacted.</w:t>
      </w:r>
    </w:p>
    <w:p>
      <w:pPr>
        <w:pStyle w:val="ListBullet"/>
      </w:pPr>
      <w:r>
        <w:t>The numbers come from one careful read of the whole document next to the redactor's output (section 2). Precision only says that the reviewer found nothing wrongly redacted; recall counts the PII the reviewer found that the redactor missed (section 6).</w:t>
      </w:r>
    </w:p>
    <w:p>
      <w:pPr>
        <w:pStyle w:val="Heading1"/>
      </w:pPr>
      <w:r>
        <w:t>2. Data and review</w:t>
      </w:r>
    </w:p>
    <w:p>
      <w:r>
        <w:rPr>
          <w:i w:val="0"/>
        </w:rPr>
        <w:t>Document: Red Herring Prospectus of KSH International Limited: 3,724 blocks, 325,559 characters, 51,272 words. A block is the unit that is scored: the paragraphs of one table cell, or one body paragraph.</w:t>
      </w:r>
    </w:p>
    <w:tbl>
      <w:tblPr>
        <w:tblStyle w:val="TableGrid"/>
        <w:tblW w:type="auto" w:w="0"/>
        <w:jc w:val="center"/>
        <w:tblLook w:firstColumn="1" w:firstRow="1" w:lastColumn="0" w:lastRow="0" w:noHBand="0" w:noVBand="1" w:val="04A0"/>
      </w:tblPr>
      <w:tblGrid>
        <w:gridCol w:w="4840"/>
        <w:gridCol w:w="4840"/>
      </w:tblGrid>
      <w:tr>
        <w:tc>
          <w:tcPr>
            <w:tcW w:type="dxa" w:w="4000"/>
            <w:shd w:val="clear" w:color="auto" w:fill="2F4B6E"/>
          </w:tcPr>
          <w:p>
            <w:r>
              <w:rPr>
                <w:b/>
                <w:color w:val="FFFFFF"/>
                <w:sz w:val="18"/>
              </w:rPr>
              <w:t>PII type</w:t>
            </w:r>
          </w:p>
        </w:tc>
        <w:tc>
          <w:tcPr>
            <w:tcW w:type="dxa" w:w="2600"/>
            <w:shd w:val="clear" w:color="auto" w:fill="2F4B6E"/>
          </w:tcPr>
          <w:p>
            <w:r>
              <w:rPr>
                <w:b/>
                <w:color w:val="FFFFFF"/>
                <w:sz w:val="18"/>
              </w:rPr>
              <w:t>PII spans in the document</w:t>
            </w:r>
          </w:p>
        </w:tc>
      </w:tr>
      <w:tr>
        <w:tc>
          <w:tcPr>
            <w:tcW w:type="dxa" w:w="4000"/>
          </w:tcPr>
          <w:p>
            <w:r>
              <w:rPr>
                <w:b w:val="0"/>
                <w:sz w:val="18"/>
              </w:rPr>
              <w:t>Addresses</w:t>
            </w:r>
          </w:p>
        </w:tc>
        <w:tc>
          <w:tcPr>
            <w:tcW w:type="dxa" w:w="2600"/>
          </w:tcPr>
          <w:p>
            <w:pPr>
              <w:jc w:val="right"/>
            </w:pPr>
            <w:r>
              <w:rPr>
                <w:b w:val="0"/>
                <w:sz w:val="18"/>
              </w:rPr>
              <w:t>52</w:t>
            </w:r>
          </w:p>
        </w:tc>
      </w:tr>
      <w:tr>
        <w:tc>
          <w:tcPr>
            <w:tcW w:type="dxa" w:w="4000"/>
          </w:tcPr>
          <w:p>
            <w:r>
              <w:rPr>
                <w:b w:val="0"/>
                <w:sz w:val="18"/>
              </w:rPr>
              <w:t>Company names</w:t>
            </w:r>
          </w:p>
        </w:tc>
        <w:tc>
          <w:tcPr>
            <w:tcW w:type="dxa" w:w="2600"/>
          </w:tcPr>
          <w:p>
            <w:pPr>
              <w:jc w:val="right"/>
            </w:pPr>
            <w:r>
              <w:rPr>
                <w:b w:val="0"/>
                <w:sz w:val="18"/>
              </w:rPr>
              <w:t>291</w:t>
            </w:r>
          </w:p>
        </w:tc>
      </w:tr>
      <w:tr>
        <w:tc>
          <w:tcPr>
            <w:tcW w:type="dxa" w:w="4000"/>
          </w:tcPr>
          <w:p>
            <w:r>
              <w:rPr>
                <w:b w:val="0"/>
                <w:sz w:val="18"/>
              </w:rPr>
              <w:t>Email addresses</w:t>
            </w:r>
          </w:p>
        </w:tc>
        <w:tc>
          <w:tcPr>
            <w:tcW w:type="dxa" w:w="2600"/>
          </w:tcPr>
          <w:p>
            <w:pPr>
              <w:jc w:val="right"/>
            </w:pPr>
            <w:r>
              <w:rPr>
                <w:b w:val="0"/>
                <w:sz w:val="18"/>
              </w:rPr>
              <w:t>52</w:t>
            </w:r>
          </w:p>
        </w:tc>
      </w:tr>
      <w:tr>
        <w:tc>
          <w:tcPr>
            <w:tcW w:type="dxa" w:w="4000"/>
          </w:tcPr>
          <w:p>
            <w:r>
              <w:rPr>
                <w:b w:val="0"/>
                <w:sz w:val="18"/>
              </w:rPr>
              <w:t>Full names</w:t>
            </w:r>
          </w:p>
        </w:tc>
        <w:tc>
          <w:tcPr>
            <w:tcW w:type="dxa" w:w="2600"/>
          </w:tcPr>
          <w:p>
            <w:pPr>
              <w:jc w:val="right"/>
            </w:pPr>
            <w:r>
              <w:rPr>
                <w:b w:val="0"/>
                <w:sz w:val="18"/>
              </w:rPr>
              <w:t>223</w:t>
            </w:r>
          </w:p>
        </w:tc>
      </w:tr>
      <w:tr>
        <w:tc>
          <w:tcPr>
            <w:tcW w:type="dxa" w:w="4000"/>
          </w:tcPr>
          <w:p>
            <w:r>
              <w:rPr>
                <w:b w:val="0"/>
                <w:sz w:val="18"/>
              </w:rPr>
              <w:t>Phone numbers</w:t>
            </w:r>
          </w:p>
        </w:tc>
        <w:tc>
          <w:tcPr>
            <w:tcW w:type="dxa" w:w="2600"/>
          </w:tcPr>
          <w:p>
            <w:pPr>
              <w:jc w:val="right"/>
            </w:pPr>
            <w:r>
              <w:rPr>
                <w:b w:val="0"/>
                <w:sz w:val="18"/>
              </w:rPr>
              <w:t>36</w:t>
            </w:r>
          </w:p>
        </w:tc>
      </w:tr>
      <w:tr>
        <w:tc>
          <w:tcPr>
            <w:tcW w:type="dxa" w:w="4000"/>
          </w:tcPr>
          <w:p>
            <w:r>
              <w:rPr>
                <w:b w:val="0"/>
                <w:sz w:val="18"/>
              </w:rPr>
              <w:t>Web addresses</w:t>
            </w:r>
          </w:p>
        </w:tc>
        <w:tc>
          <w:tcPr>
            <w:tcW w:type="dxa" w:w="2600"/>
          </w:tcPr>
          <w:p>
            <w:pPr>
              <w:jc w:val="right"/>
            </w:pPr>
            <w:r>
              <w:rPr>
                <w:b w:val="0"/>
                <w:sz w:val="18"/>
              </w:rPr>
              <w:t>28</w:t>
            </w:r>
          </w:p>
        </w:tc>
      </w:tr>
      <w:tr>
        <w:tc>
          <w:tcPr>
            <w:tcW w:type="dxa" w:w="4000"/>
            <w:shd w:val="clear" w:color="auto" w:fill="E8EEF5"/>
          </w:tcPr>
          <w:p>
            <w:r>
              <w:rPr>
                <w:b/>
                <w:sz w:val="18"/>
              </w:rPr>
              <w:t>All types</w:t>
            </w:r>
          </w:p>
        </w:tc>
        <w:tc>
          <w:tcPr>
            <w:tcW w:type="dxa" w:w="2600"/>
            <w:shd w:val="clear" w:color="auto" w:fill="E8EEF5"/>
          </w:tcPr>
          <w:p>
            <w:pPr>
              <w:jc w:val="right"/>
            </w:pPr>
            <w:r>
              <w:rPr>
                <w:b/>
                <w:sz w:val="18"/>
              </w:rPr>
              <w:t>682</w:t>
            </w:r>
          </w:p>
        </w:tc>
      </w:tr>
    </w:tbl>
    <w:p/>
    <w:p>
      <w:pPr>
        <w:pStyle w:val="Heading2"/>
      </w:pPr>
      <w:r>
        <w:t>How the review was done</w:t>
      </w:r>
    </w:p>
    <w:p>
      <w:pPr>
        <w:pStyle w:val="ListBullet"/>
      </w:pPr>
      <w:r>
        <w:t>All 2,262 blocks that contain letters were printed with the redactor's redactions marked in place and read in full; the remaining blocks are numeric table cells.</w:t>
      </w:r>
    </w:p>
    <w:p>
      <w:pPr>
        <w:pStyle w:val="ListBullet"/>
      </w:pPr>
      <w:r>
        <w:t>Every redaction was judged: correct, or wrong. Nothing was found to be wrongly redacted in the final output.</w:t>
      </w:r>
    </w:p>
    <w:p>
      <w:pPr>
        <w:pStyle w:val="ListBullet"/>
      </w:pPr>
      <w:r>
        <w:t>PII the redactor did not redact was listed by text. Each occurrence of such a text that the redactor did not already cover counts as one missed span. The list is in evaluation/data/review_corrections.json.</w:t>
      </w:r>
    </w:p>
    <w:p>
      <w:pPr>
        <w:pStyle w:val="ListBullet"/>
      </w:pPr>
      <w:r>
        <w:t>Wrong redactions found during the review were fixed in the code, so the numbers describe the final code.</w:t>
      </w:r>
    </w:p>
    <w:p>
      <w:pPr>
        <w:pStyle w:val="ListBullet"/>
      </w:pPr>
      <w:r>
        <w:t>Deliberately not treated as PII: regulators, exchanges and government bodies (SEBI, BSE, NSE, RBI, NSDL, ...); newspapers named as advertising media; CIN, SEBI registration, firm registration and peer-review numbers; deal and filing dates; page and section numbers.</w:t>
      </w:r>
    </w:p>
    <w:p>
      <w:pPr>
        <w:pStyle w:val="Heading1"/>
      </w:pPr>
      <w:r>
        <w:t>3. Metrics</w:t>
      </w:r>
    </w:p>
    <w:tbl>
      <w:tblPr>
        <w:tblStyle w:val="TableGrid"/>
        <w:tblW w:type="auto" w:w="0"/>
        <w:jc w:val="center"/>
        <w:tblLook w:firstColumn="1" w:firstRow="1" w:lastColumn="0" w:lastRow="0" w:noHBand="0" w:noVBand="1" w:val="04A0"/>
      </w:tblPr>
      <w:tblGrid>
        <w:gridCol w:w="4840"/>
        <w:gridCol w:w="4840"/>
      </w:tblGrid>
      <w:tr>
        <w:tc>
          <w:tcPr>
            <w:tcW w:type="dxa" w:w="1400"/>
            <w:shd w:val="clear" w:color="auto" w:fill="2F4B6E"/>
          </w:tcPr>
          <w:p>
            <w:r>
              <w:rPr>
                <w:b/>
                <w:color w:val="FFFFFF"/>
                <w:sz w:val="18"/>
              </w:rPr>
              <w:t>Term</w:t>
            </w:r>
          </w:p>
        </w:tc>
        <w:tc>
          <w:tcPr>
            <w:tcW w:type="dxa" w:w="8000"/>
            <w:shd w:val="clear" w:color="auto" w:fill="2F4B6E"/>
          </w:tcPr>
          <w:p>
            <w:r>
              <w:rPr>
                <w:b/>
                <w:color w:val="FFFFFF"/>
                <w:sz w:val="18"/>
              </w:rPr>
              <w:t>Meaning</w:t>
            </w:r>
          </w:p>
        </w:tc>
      </w:tr>
      <w:tr>
        <w:tc>
          <w:tcPr>
            <w:tcW w:type="dxa" w:w="1400"/>
          </w:tcPr>
          <w:p>
            <w:r>
              <w:rPr>
                <w:b w:val="0"/>
                <w:sz w:val="18"/>
              </w:rPr>
              <w:t>TP</w:t>
            </w:r>
          </w:p>
        </w:tc>
        <w:tc>
          <w:tcPr>
            <w:tcW w:type="dxa" w:w="8000"/>
          </w:tcPr>
          <w:p>
            <w:pPr>
              <w:jc w:val="right"/>
            </w:pPr>
            <w:r>
              <w:rPr>
                <w:b w:val="0"/>
                <w:sz w:val="18"/>
              </w:rPr>
              <w:t>a redaction the review confirmed as PII</w:t>
            </w:r>
          </w:p>
        </w:tc>
      </w:tr>
      <w:tr>
        <w:tc>
          <w:tcPr>
            <w:tcW w:type="dxa" w:w="1400"/>
          </w:tcPr>
          <w:p>
            <w:r>
              <w:rPr>
                <w:b w:val="0"/>
                <w:sz w:val="18"/>
              </w:rPr>
              <w:t>FP</w:t>
            </w:r>
          </w:p>
        </w:tc>
        <w:tc>
          <w:tcPr>
            <w:tcW w:type="dxa" w:w="8000"/>
          </w:tcPr>
          <w:p>
            <w:pPr>
              <w:jc w:val="right"/>
            </w:pPr>
            <w:r>
              <w:rPr>
                <w:b w:val="0"/>
                <w:sz w:val="18"/>
              </w:rPr>
              <w:t>a redaction the review judged not to be PII</w:t>
            </w:r>
          </w:p>
        </w:tc>
      </w:tr>
      <w:tr>
        <w:tc>
          <w:tcPr>
            <w:tcW w:type="dxa" w:w="1400"/>
          </w:tcPr>
          <w:p>
            <w:r>
              <w:rPr>
                <w:b w:val="0"/>
                <w:sz w:val="18"/>
              </w:rPr>
              <w:t>FN</w:t>
            </w:r>
          </w:p>
        </w:tc>
        <w:tc>
          <w:tcPr>
            <w:tcW w:type="dxa" w:w="8000"/>
          </w:tcPr>
          <w:p>
            <w:pPr>
              <w:jc w:val="right"/>
            </w:pPr>
            <w:r>
              <w:rPr>
                <w:b w:val="0"/>
                <w:sz w:val="18"/>
              </w:rPr>
              <w:t>PII the redactor did not redact</w:t>
            </w:r>
          </w:p>
        </w:tc>
      </w:tr>
      <w:tr>
        <w:tc>
          <w:tcPr>
            <w:tcW w:type="dxa" w:w="1400"/>
          </w:tcPr>
          <w:p>
            <w:r>
              <w:rPr>
                <w:b w:val="0"/>
                <w:sz w:val="18"/>
              </w:rPr>
              <w:t>Accuracy</w:t>
            </w:r>
          </w:p>
        </w:tc>
        <w:tc>
          <w:tcPr>
            <w:tcW w:type="dxa" w:w="8000"/>
          </w:tcPr>
          <w:p>
            <w:pPr>
              <w:jc w:val="right"/>
            </w:pPr>
            <w:r>
              <w:rPr>
                <w:b w:val="0"/>
                <w:sz w:val="18"/>
              </w:rPr>
              <w:t>(TP + TN) / all words, where a word is positive when it belongs to a PII span of that type</w:t>
            </w:r>
          </w:p>
        </w:tc>
      </w:tr>
      <w:tr>
        <w:tc>
          <w:tcPr>
            <w:tcW w:type="dxa" w:w="1400"/>
          </w:tcPr>
          <w:p>
            <w:r>
              <w:rPr>
                <w:b w:val="0"/>
                <w:sz w:val="18"/>
              </w:rPr>
              <w:t>Precision</w:t>
            </w:r>
          </w:p>
        </w:tc>
        <w:tc>
          <w:tcPr>
            <w:tcW w:type="dxa" w:w="8000"/>
          </w:tcPr>
          <w:p>
            <w:pPr>
              <w:jc w:val="right"/>
            </w:pPr>
            <w:r>
              <w:rPr>
                <w:b w:val="0"/>
                <w:sz w:val="18"/>
              </w:rPr>
              <w:t>TP / (TP + FP): of the spans the redactor changed, how many should have been changed</w:t>
            </w:r>
          </w:p>
        </w:tc>
      </w:tr>
      <w:tr>
        <w:tc>
          <w:tcPr>
            <w:tcW w:type="dxa" w:w="1400"/>
          </w:tcPr>
          <w:p>
            <w:r>
              <w:rPr>
                <w:b w:val="0"/>
                <w:sz w:val="18"/>
              </w:rPr>
              <w:t>Recall</w:t>
            </w:r>
          </w:p>
        </w:tc>
        <w:tc>
          <w:tcPr>
            <w:tcW w:type="dxa" w:w="8000"/>
          </w:tcPr>
          <w:p>
            <w:pPr>
              <w:jc w:val="right"/>
            </w:pPr>
            <w:r>
              <w:rPr>
                <w:b w:val="0"/>
                <w:sz w:val="18"/>
              </w:rPr>
              <w:t>TP / (TP + FN): of the PII spans in the document, how many were redacted</w:t>
            </w:r>
          </w:p>
        </w:tc>
      </w:tr>
      <w:tr>
        <w:tc>
          <w:tcPr>
            <w:tcW w:type="dxa" w:w="1400"/>
          </w:tcPr>
          <w:p>
            <w:r>
              <w:rPr>
                <w:b w:val="0"/>
                <w:sz w:val="18"/>
              </w:rPr>
              <w:t>F1</w:t>
            </w:r>
          </w:p>
        </w:tc>
        <w:tc>
          <w:tcPr>
            <w:tcW w:type="dxa" w:w="8000"/>
          </w:tcPr>
          <w:p>
            <w:pPr>
              <w:jc w:val="right"/>
            </w:pPr>
            <w:r>
              <w:rPr>
                <w:b w:val="0"/>
                <w:sz w:val="18"/>
              </w:rPr>
              <w:t>Harmonic mean of precision and recall</w:t>
            </w:r>
          </w:p>
        </w:tc>
      </w:tr>
    </w:tbl>
    <w:p/>
    <w:p>
      <w:r>
        <w:rPr>
          <w:i w:val="0"/>
        </w:rPr>
        <w:t>TP, FP and FN count spans. The overall row is the sum over all types (micro average). Per-type accuracy treats every word that is not part of that type as a true negative.</w:t>
      </w:r>
    </w:p>
    <w:p>
      <w:pPr>
        <w:pStyle w:val="Heading1"/>
      </w:pPr>
      <w:r>
        <w:t>4. Results by PII type</w:t>
      </w:r>
    </w:p>
    <w:tbl>
      <w:tblPr>
        <w:tblStyle w:val="TableGrid"/>
        <w:tblW w:type="auto" w:w="0"/>
        <w:jc w:val="center"/>
        <w:tblLook w:firstColumn="1" w:firstRow="1" w:lastColumn="0" w:lastRow="0" w:noHBand="0" w:noVBand="1" w:val="04A0"/>
      </w:tblPr>
      <w:tblGrid>
        <w:gridCol w:w="1076"/>
        <w:gridCol w:w="1076"/>
        <w:gridCol w:w="1076"/>
        <w:gridCol w:w="1076"/>
        <w:gridCol w:w="1076"/>
        <w:gridCol w:w="1076"/>
        <w:gridCol w:w="1076"/>
        <w:gridCol w:w="1076"/>
        <w:gridCol w:w="1076"/>
      </w:tblGrid>
      <w:tr>
        <w:tc>
          <w:tcPr>
            <w:tcW w:type="dxa" w:w="2400"/>
            <w:shd w:val="clear" w:color="auto" w:fill="2F4B6E"/>
          </w:tcPr>
          <w:p>
            <w:r>
              <w:rPr>
                <w:b/>
                <w:color w:val="FFFFFF"/>
                <w:sz w:val="18"/>
              </w:rPr>
              <w:t>Type</w:t>
            </w:r>
          </w:p>
        </w:tc>
        <w:tc>
          <w:tcPr>
            <w:tcW w:type="dxa" w:w="1000"/>
            <w:shd w:val="clear" w:color="auto" w:fill="2F4B6E"/>
          </w:tcPr>
          <w:p>
            <w:r>
              <w:rPr>
                <w:b/>
                <w:color w:val="FFFFFF"/>
                <w:sz w:val="18"/>
              </w:rPr>
              <w:t>PII spans</w:t>
            </w:r>
          </w:p>
        </w:tc>
        <w:tc>
          <w:tcPr>
            <w:tcW w:type="dxa" w:w="800"/>
            <w:shd w:val="clear" w:color="auto" w:fill="2F4B6E"/>
          </w:tcPr>
          <w:p>
            <w:r>
              <w:rPr>
                <w:b/>
                <w:color w:val="FFFFFF"/>
                <w:sz w:val="18"/>
              </w:rPr>
              <w:t>TP</w:t>
            </w:r>
          </w:p>
        </w:tc>
        <w:tc>
          <w:tcPr>
            <w:tcW w:type="dxa" w:w="700"/>
            <w:shd w:val="clear" w:color="auto" w:fill="2F4B6E"/>
          </w:tcPr>
          <w:p>
            <w:r>
              <w:rPr>
                <w:b/>
                <w:color w:val="FFFFFF"/>
                <w:sz w:val="18"/>
              </w:rPr>
              <w:t>FP</w:t>
            </w:r>
          </w:p>
        </w:tc>
        <w:tc>
          <w:tcPr>
            <w:tcW w:type="dxa" w:w="700"/>
            <w:shd w:val="clear" w:color="auto" w:fill="2F4B6E"/>
          </w:tcPr>
          <w:p>
            <w:r>
              <w:rPr>
                <w:b/>
                <w:color w:val="FFFFFF"/>
                <w:sz w:val="18"/>
              </w:rPr>
              <w:t>FN</w:t>
            </w:r>
          </w:p>
        </w:tc>
        <w:tc>
          <w:tcPr>
            <w:tcW w:type="dxa" w:w="1100"/>
            <w:shd w:val="clear" w:color="auto" w:fill="2F4B6E"/>
          </w:tcPr>
          <w:p>
            <w:r>
              <w:rPr>
                <w:b/>
                <w:color w:val="FFFFFF"/>
                <w:sz w:val="18"/>
              </w:rPr>
              <w:t>Precision</w:t>
            </w:r>
          </w:p>
        </w:tc>
        <w:tc>
          <w:tcPr>
            <w:tcW w:type="dxa" w:w="1000"/>
            <w:shd w:val="clear" w:color="auto" w:fill="2F4B6E"/>
          </w:tcPr>
          <w:p>
            <w:r>
              <w:rPr>
                <w:b/>
                <w:color w:val="FFFFFF"/>
                <w:sz w:val="18"/>
              </w:rPr>
              <w:t>Recall</w:t>
            </w:r>
          </w:p>
        </w:tc>
        <w:tc>
          <w:tcPr>
            <w:tcW w:type="dxa" w:w="900"/>
            <w:shd w:val="clear" w:color="auto" w:fill="2F4B6E"/>
          </w:tcPr>
          <w:p>
            <w:r>
              <w:rPr>
                <w:b/>
                <w:color w:val="FFFFFF"/>
                <w:sz w:val="18"/>
              </w:rPr>
              <w:t>F1</w:t>
            </w:r>
          </w:p>
        </w:tc>
        <w:tc>
          <w:tcPr>
            <w:tcW w:type="dxa" w:w="1100"/>
            <w:shd w:val="clear" w:color="auto" w:fill="2F4B6E"/>
          </w:tcPr>
          <w:p>
            <w:r>
              <w:rPr>
                <w:b/>
                <w:color w:val="FFFFFF"/>
                <w:sz w:val="18"/>
              </w:rPr>
              <w:t>Accuracy</w:t>
            </w:r>
          </w:p>
        </w:tc>
      </w:tr>
      <w:tr>
        <w:tc>
          <w:tcPr>
            <w:tcW w:type="dxa" w:w="2400"/>
          </w:tcPr>
          <w:p>
            <w:r>
              <w:rPr>
                <w:b w:val="0"/>
                <w:sz w:val="18"/>
              </w:rPr>
              <w:t>Addresses</w:t>
            </w:r>
          </w:p>
        </w:tc>
        <w:tc>
          <w:tcPr>
            <w:tcW w:type="dxa" w:w="1000"/>
          </w:tcPr>
          <w:p>
            <w:pPr>
              <w:jc w:val="right"/>
            </w:pPr>
            <w:r>
              <w:rPr>
                <w:b w:val="0"/>
                <w:sz w:val="18"/>
              </w:rPr>
              <w:t>52</w:t>
            </w:r>
          </w:p>
        </w:tc>
        <w:tc>
          <w:tcPr>
            <w:tcW w:type="dxa" w:w="800"/>
          </w:tcPr>
          <w:p>
            <w:pPr>
              <w:jc w:val="right"/>
            </w:pPr>
            <w:r>
              <w:rPr>
                <w:b w:val="0"/>
                <w:sz w:val="18"/>
              </w:rPr>
              <w:t>51</w:t>
            </w:r>
          </w:p>
        </w:tc>
        <w:tc>
          <w:tcPr>
            <w:tcW w:type="dxa" w:w="700"/>
          </w:tcPr>
          <w:p>
            <w:pPr>
              <w:jc w:val="right"/>
            </w:pPr>
            <w:r>
              <w:rPr>
                <w:b w:val="0"/>
                <w:sz w:val="18"/>
              </w:rPr>
              <w:t>0</w:t>
            </w:r>
          </w:p>
        </w:tc>
        <w:tc>
          <w:tcPr>
            <w:tcW w:type="dxa" w:w="700"/>
          </w:tcPr>
          <w:p>
            <w:pPr>
              <w:jc w:val="right"/>
            </w:pPr>
            <w:r>
              <w:rPr>
                <w:b w:val="0"/>
                <w:sz w:val="18"/>
              </w:rPr>
              <w:t>1</w:t>
            </w:r>
          </w:p>
        </w:tc>
        <w:tc>
          <w:tcPr>
            <w:tcW w:type="dxa" w:w="1100"/>
          </w:tcPr>
          <w:p>
            <w:pPr>
              <w:jc w:val="right"/>
            </w:pPr>
            <w:r>
              <w:rPr>
                <w:b w:val="0"/>
                <w:sz w:val="18"/>
              </w:rPr>
              <w:t>1.000</w:t>
            </w:r>
          </w:p>
        </w:tc>
        <w:tc>
          <w:tcPr>
            <w:tcW w:type="dxa" w:w="1000"/>
          </w:tcPr>
          <w:p>
            <w:pPr>
              <w:jc w:val="right"/>
            </w:pPr>
            <w:r>
              <w:rPr>
                <w:b w:val="0"/>
                <w:sz w:val="18"/>
              </w:rPr>
              <w:t>0.981</w:t>
            </w:r>
          </w:p>
        </w:tc>
        <w:tc>
          <w:tcPr>
            <w:tcW w:type="dxa" w:w="900"/>
          </w:tcPr>
          <w:p>
            <w:pPr>
              <w:jc w:val="right"/>
            </w:pPr>
            <w:r>
              <w:rPr>
                <w:b w:val="0"/>
                <w:sz w:val="18"/>
              </w:rPr>
              <w:t>0.990</w:t>
            </w:r>
          </w:p>
        </w:tc>
        <w:tc>
          <w:tcPr>
            <w:tcW w:type="dxa" w:w="1100"/>
          </w:tcPr>
          <w:p>
            <w:pPr>
              <w:jc w:val="right"/>
            </w:pPr>
            <w:r>
              <w:rPr>
                <w:b w:val="0"/>
                <w:sz w:val="18"/>
              </w:rPr>
              <w:t>0.9999</w:t>
            </w:r>
          </w:p>
        </w:tc>
      </w:tr>
      <w:tr>
        <w:tc>
          <w:tcPr>
            <w:tcW w:type="dxa" w:w="2400"/>
          </w:tcPr>
          <w:p>
            <w:r>
              <w:rPr>
                <w:b w:val="0"/>
                <w:sz w:val="18"/>
              </w:rPr>
              <w:t>Company names</w:t>
            </w:r>
          </w:p>
        </w:tc>
        <w:tc>
          <w:tcPr>
            <w:tcW w:type="dxa" w:w="1000"/>
          </w:tcPr>
          <w:p>
            <w:pPr>
              <w:jc w:val="right"/>
            </w:pPr>
            <w:r>
              <w:rPr>
                <w:b w:val="0"/>
                <w:sz w:val="18"/>
              </w:rPr>
              <w:t>291</w:t>
            </w:r>
          </w:p>
        </w:tc>
        <w:tc>
          <w:tcPr>
            <w:tcW w:type="dxa" w:w="800"/>
          </w:tcPr>
          <w:p>
            <w:pPr>
              <w:jc w:val="right"/>
            </w:pPr>
            <w:r>
              <w:rPr>
                <w:b w:val="0"/>
                <w:sz w:val="18"/>
              </w:rPr>
              <w:t>273</w:t>
            </w:r>
          </w:p>
        </w:tc>
        <w:tc>
          <w:tcPr>
            <w:tcW w:type="dxa" w:w="700"/>
          </w:tcPr>
          <w:p>
            <w:pPr>
              <w:jc w:val="right"/>
            </w:pPr>
            <w:r>
              <w:rPr>
                <w:b w:val="0"/>
                <w:sz w:val="18"/>
              </w:rPr>
              <w:t>0</w:t>
            </w:r>
          </w:p>
        </w:tc>
        <w:tc>
          <w:tcPr>
            <w:tcW w:type="dxa" w:w="700"/>
          </w:tcPr>
          <w:p>
            <w:pPr>
              <w:jc w:val="right"/>
            </w:pPr>
            <w:r>
              <w:rPr>
                <w:b w:val="0"/>
                <w:sz w:val="18"/>
              </w:rPr>
              <w:t>18</w:t>
            </w:r>
          </w:p>
        </w:tc>
        <w:tc>
          <w:tcPr>
            <w:tcW w:type="dxa" w:w="1100"/>
          </w:tcPr>
          <w:p>
            <w:pPr>
              <w:jc w:val="right"/>
            </w:pPr>
            <w:r>
              <w:rPr>
                <w:b w:val="0"/>
                <w:sz w:val="18"/>
              </w:rPr>
              <w:t>1.000</w:t>
            </w:r>
          </w:p>
        </w:tc>
        <w:tc>
          <w:tcPr>
            <w:tcW w:type="dxa" w:w="1000"/>
          </w:tcPr>
          <w:p>
            <w:pPr>
              <w:jc w:val="right"/>
            </w:pPr>
            <w:r>
              <w:rPr>
                <w:b w:val="0"/>
                <w:sz w:val="18"/>
              </w:rPr>
              <w:t>0.938</w:t>
            </w:r>
          </w:p>
        </w:tc>
        <w:tc>
          <w:tcPr>
            <w:tcW w:type="dxa" w:w="900"/>
          </w:tcPr>
          <w:p>
            <w:pPr>
              <w:jc w:val="right"/>
            </w:pPr>
            <w:r>
              <w:rPr>
                <w:b w:val="0"/>
                <w:sz w:val="18"/>
              </w:rPr>
              <w:t>0.968</w:t>
            </w:r>
          </w:p>
        </w:tc>
        <w:tc>
          <w:tcPr>
            <w:tcW w:type="dxa" w:w="1100"/>
          </w:tcPr>
          <w:p>
            <w:pPr>
              <w:jc w:val="right"/>
            </w:pPr>
            <w:r>
              <w:rPr>
                <w:b w:val="0"/>
                <w:sz w:val="18"/>
              </w:rPr>
              <w:t>0.9994</w:t>
            </w:r>
          </w:p>
        </w:tc>
      </w:tr>
      <w:tr>
        <w:tc>
          <w:tcPr>
            <w:tcW w:type="dxa" w:w="2400"/>
          </w:tcPr>
          <w:p>
            <w:r>
              <w:rPr>
                <w:b w:val="0"/>
                <w:sz w:val="18"/>
              </w:rPr>
              <w:t>Email addresses</w:t>
            </w:r>
          </w:p>
        </w:tc>
        <w:tc>
          <w:tcPr>
            <w:tcW w:type="dxa" w:w="1000"/>
          </w:tcPr>
          <w:p>
            <w:pPr>
              <w:jc w:val="right"/>
            </w:pPr>
            <w:r>
              <w:rPr>
                <w:b w:val="0"/>
                <w:sz w:val="18"/>
              </w:rPr>
              <w:t>52</w:t>
            </w:r>
          </w:p>
        </w:tc>
        <w:tc>
          <w:tcPr>
            <w:tcW w:type="dxa" w:w="800"/>
          </w:tcPr>
          <w:p>
            <w:pPr>
              <w:jc w:val="right"/>
            </w:pPr>
            <w:r>
              <w:rPr>
                <w:b w:val="0"/>
                <w:sz w:val="18"/>
              </w:rPr>
              <w:t>52</w:t>
            </w:r>
          </w:p>
        </w:tc>
        <w:tc>
          <w:tcPr>
            <w:tcW w:type="dxa" w:w="700"/>
          </w:tcPr>
          <w:p>
            <w:pPr>
              <w:jc w:val="right"/>
            </w:pPr>
            <w:r>
              <w:rPr>
                <w:b w:val="0"/>
                <w:sz w:val="18"/>
              </w:rPr>
              <w:t>0</w:t>
            </w:r>
          </w:p>
        </w:tc>
        <w:tc>
          <w:tcPr>
            <w:tcW w:type="dxa" w:w="700"/>
          </w:tcPr>
          <w:p>
            <w:pPr>
              <w:jc w:val="right"/>
            </w:pPr>
            <w:r>
              <w:rPr>
                <w:b w:val="0"/>
                <w:sz w:val="18"/>
              </w:rPr>
              <w:t>0</w:t>
            </w:r>
          </w:p>
        </w:tc>
        <w:tc>
          <w:tcPr>
            <w:tcW w:type="dxa" w:w="1100"/>
          </w:tcPr>
          <w:p>
            <w:pPr>
              <w:jc w:val="right"/>
            </w:pPr>
            <w:r>
              <w:rPr>
                <w:b w:val="0"/>
                <w:sz w:val="18"/>
              </w:rPr>
              <w:t>1.000</w:t>
            </w:r>
          </w:p>
        </w:tc>
        <w:tc>
          <w:tcPr>
            <w:tcW w:type="dxa" w:w="1000"/>
          </w:tcPr>
          <w:p>
            <w:pPr>
              <w:jc w:val="right"/>
            </w:pPr>
            <w:r>
              <w:rPr>
                <w:b w:val="0"/>
                <w:sz w:val="18"/>
              </w:rPr>
              <w:t>1.000</w:t>
            </w:r>
          </w:p>
        </w:tc>
        <w:tc>
          <w:tcPr>
            <w:tcW w:type="dxa" w:w="900"/>
          </w:tcPr>
          <w:p>
            <w:pPr>
              <w:jc w:val="right"/>
            </w:pPr>
            <w:r>
              <w:rPr>
                <w:b w:val="0"/>
                <w:sz w:val="18"/>
              </w:rPr>
              <w:t>1.000</w:t>
            </w:r>
          </w:p>
        </w:tc>
        <w:tc>
          <w:tcPr>
            <w:tcW w:type="dxa" w:w="1100"/>
          </w:tcPr>
          <w:p>
            <w:pPr>
              <w:jc w:val="right"/>
            </w:pPr>
            <w:r>
              <w:rPr>
                <w:b w:val="0"/>
                <w:sz w:val="18"/>
              </w:rPr>
              <w:t>1.0000</w:t>
            </w:r>
          </w:p>
        </w:tc>
      </w:tr>
      <w:tr>
        <w:tc>
          <w:tcPr>
            <w:tcW w:type="dxa" w:w="2400"/>
          </w:tcPr>
          <w:p>
            <w:r>
              <w:rPr>
                <w:b w:val="0"/>
                <w:sz w:val="18"/>
              </w:rPr>
              <w:t>Full names</w:t>
            </w:r>
          </w:p>
        </w:tc>
        <w:tc>
          <w:tcPr>
            <w:tcW w:type="dxa" w:w="1000"/>
          </w:tcPr>
          <w:p>
            <w:pPr>
              <w:jc w:val="right"/>
            </w:pPr>
            <w:r>
              <w:rPr>
                <w:b w:val="0"/>
                <w:sz w:val="18"/>
              </w:rPr>
              <w:t>223</w:t>
            </w:r>
          </w:p>
        </w:tc>
        <w:tc>
          <w:tcPr>
            <w:tcW w:type="dxa" w:w="800"/>
          </w:tcPr>
          <w:p>
            <w:pPr>
              <w:jc w:val="right"/>
            </w:pPr>
            <w:r>
              <w:rPr>
                <w:b w:val="0"/>
                <w:sz w:val="18"/>
              </w:rPr>
              <w:t>222</w:t>
            </w:r>
          </w:p>
        </w:tc>
        <w:tc>
          <w:tcPr>
            <w:tcW w:type="dxa" w:w="700"/>
          </w:tcPr>
          <w:p>
            <w:pPr>
              <w:jc w:val="right"/>
            </w:pPr>
            <w:r>
              <w:rPr>
                <w:b w:val="0"/>
                <w:sz w:val="18"/>
              </w:rPr>
              <w:t>0</w:t>
            </w:r>
          </w:p>
        </w:tc>
        <w:tc>
          <w:tcPr>
            <w:tcW w:type="dxa" w:w="700"/>
          </w:tcPr>
          <w:p>
            <w:pPr>
              <w:jc w:val="right"/>
            </w:pPr>
            <w:r>
              <w:rPr>
                <w:b w:val="0"/>
                <w:sz w:val="18"/>
              </w:rPr>
              <w:t>1</w:t>
            </w:r>
          </w:p>
        </w:tc>
        <w:tc>
          <w:tcPr>
            <w:tcW w:type="dxa" w:w="1100"/>
          </w:tcPr>
          <w:p>
            <w:pPr>
              <w:jc w:val="right"/>
            </w:pPr>
            <w:r>
              <w:rPr>
                <w:b w:val="0"/>
                <w:sz w:val="18"/>
              </w:rPr>
              <w:t>1.000</w:t>
            </w:r>
          </w:p>
        </w:tc>
        <w:tc>
          <w:tcPr>
            <w:tcW w:type="dxa" w:w="1000"/>
          </w:tcPr>
          <w:p>
            <w:pPr>
              <w:jc w:val="right"/>
            </w:pPr>
            <w:r>
              <w:rPr>
                <w:b w:val="0"/>
                <w:sz w:val="18"/>
              </w:rPr>
              <w:t>0.996</w:t>
            </w:r>
          </w:p>
        </w:tc>
        <w:tc>
          <w:tcPr>
            <w:tcW w:type="dxa" w:w="900"/>
          </w:tcPr>
          <w:p>
            <w:pPr>
              <w:jc w:val="right"/>
            </w:pPr>
            <w:r>
              <w:rPr>
                <w:b w:val="0"/>
                <w:sz w:val="18"/>
              </w:rPr>
              <w:t>0.998</w:t>
            </w:r>
          </w:p>
        </w:tc>
        <w:tc>
          <w:tcPr>
            <w:tcW w:type="dxa" w:w="1100"/>
          </w:tcPr>
          <w:p>
            <w:pPr>
              <w:jc w:val="right"/>
            </w:pPr>
            <w:r>
              <w:rPr>
                <w:b w:val="0"/>
                <w:sz w:val="18"/>
              </w:rPr>
              <w:t>1.0000</w:t>
            </w:r>
          </w:p>
        </w:tc>
      </w:tr>
      <w:tr>
        <w:tc>
          <w:tcPr>
            <w:tcW w:type="dxa" w:w="2400"/>
          </w:tcPr>
          <w:p>
            <w:r>
              <w:rPr>
                <w:b w:val="0"/>
                <w:sz w:val="18"/>
              </w:rPr>
              <w:t>Phone numbers</w:t>
            </w:r>
          </w:p>
        </w:tc>
        <w:tc>
          <w:tcPr>
            <w:tcW w:type="dxa" w:w="1000"/>
          </w:tcPr>
          <w:p>
            <w:pPr>
              <w:jc w:val="right"/>
            </w:pPr>
            <w:r>
              <w:rPr>
                <w:b w:val="0"/>
                <w:sz w:val="18"/>
              </w:rPr>
              <w:t>36</w:t>
            </w:r>
          </w:p>
        </w:tc>
        <w:tc>
          <w:tcPr>
            <w:tcW w:type="dxa" w:w="800"/>
          </w:tcPr>
          <w:p>
            <w:pPr>
              <w:jc w:val="right"/>
            </w:pPr>
            <w:r>
              <w:rPr>
                <w:b w:val="0"/>
                <w:sz w:val="18"/>
              </w:rPr>
              <w:t>36</w:t>
            </w:r>
          </w:p>
        </w:tc>
        <w:tc>
          <w:tcPr>
            <w:tcW w:type="dxa" w:w="700"/>
          </w:tcPr>
          <w:p>
            <w:pPr>
              <w:jc w:val="right"/>
            </w:pPr>
            <w:r>
              <w:rPr>
                <w:b w:val="0"/>
                <w:sz w:val="18"/>
              </w:rPr>
              <w:t>0</w:t>
            </w:r>
          </w:p>
        </w:tc>
        <w:tc>
          <w:tcPr>
            <w:tcW w:type="dxa" w:w="700"/>
          </w:tcPr>
          <w:p>
            <w:pPr>
              <w:jc w:val="right"/>
            </w:pPr>
            <w:r>
              <w:rPr>
                <w:b w:val="0"/>
                <w:sz w:val="18"/>
              </w:rPr>
              <w:t>0</w:t>
            </w:r>
          </w:p>
        </w:tc>
        <w:tc>
          <w:tcPr>
            <w:tcW w:type="dxa" w:w="1100"/>
          </w:tcPr>
          <w:p>
            <w:pPr>
              <w:jc w:val="right"/>
            </w:pPr>
            <w:r>
              <w:rPr>
                <w:b w:val="0"/>
                <w:sz w:val="18"/>
              </w:rPr>
              <w:t>1.000</w:t>
            </w:r>
          </w:p>
        </w:tc>
        <w:tc>
          <w:tcPr>
            <w:tcW w:type="dxa" w:w="1000"/>
          </w:tcPr>
          <w:p>
            <w:pPr>
              <w:jc w:val="right"/>
            </w:pPr>
            <w:r>
              <w:rPr>
                <w:b w:val="0"/>
                <w:sz w:val="18"/>
              </w:rPr>
              <w:t>1.000</w:t>
            </w:r>
          </w:p>
        </w:tc>
        <w:tc>
          <w:tcPr>
            <w:tcW w:type="dxa" w:w="900"/>
          </w:tcPr>
          <w:p>
            <w:pPr>
              <w:jc w:val="right"/>
            </w:pPr>
            <w:r>
              <w:rPr>
                <w:b w:val="0"/>
                <w:sz w:val="18"/>
              </w:rPr>
              <w:t>1.000</w:t>
            </w:r>
          </w:p>
        </w:tc>
        <w:tc>
          <w:tcPr>
            <w:tcW w:type="dxa" w:w="1100"/>
          </w:tcPr>
          <w:p>
            <w:pPr>
              <w:jc w:val="right"/>
            </w:pPr>
            <w:r>
              <w:rPr>
                <w:b w:val="0"/>
                <w:sz w:val="18"/>
              </w:rPr>
              <w:t>1.0000</w:t>
            </w:r>
          </w:p>
        </w:tc>
      </w:tr>
      <w:tr>
        <w:tc>
          <w:tcPr>
            <w:tcW w:type="dxa" w:w="2400"/>
          </w:tcPr>
          <w:p>
            <w:r>
              <w:rPr>
                <w:b w:val="0"/>
                <w:sz w:val="18"/>
              </w:rPr>
              <w:t>Web addresses</w:t>
            </w:r>
          </w:p>
        </w:tc>
        <w:tc>
          <w:tcPr>
            <w:tcW w:type="dxa" w:w="1000"/>
          </w:tcPr>
          <w:p>
            <w:pPr>
              <w:jc w:val="right"/>
            </w:pPr>
            <w:r>
              <w:rPr>
                <w:b w:val="0"/>
                <w:sz w:val="18"/>
              </w:rPr>
              <w:t>28</w:t>
            </w:r>
          </w:p>
        </w:tc>
        <w:tc>
          <w:tcPr>
            <w:tcW w:type="dxa" w:w="800"/>
          </w:tcPr>
          <w:p>
            <w:pPr>
              <w:jc w:val="right"/>
            </w:pPr>
            <w:r>
              <w:rPr>
                <w:b w:val="0"/>
                <w:sz w:val="18"/>
              </w:rPr>
              <w:t>28</w:t>
            </w:r>
          </w:p>
        </w:tc>
        <w:tc>
          <w:tcPr>
            <w:tcW w:type="dxa" w:w="700"/>
          </w:tcPr>
          <w:p>
            <w:pPr>
              <w:jc w:val="right"/>
            </w:pPr>
            <w:r>
              <w:rPr>
                <w:b w:val="0"/>
                <w:sz w:val="18"/>
              </w:rPr>
              <w:t>0</w:t>
            </w:r>
          </w:p>
        </w:tc>
        <w:tc>
          <w:tcPr>
            <w:tcW w:type="dxa" w:w="700"/>
          </w:tcPr>
          <w:p>
            <w:pPr>
              <w:jc w:val="right"/>
            </w:pPr>
            <w:r>
              <w:rPr>
                <w:b w:val="0"/>
                <w:sz w:val="18"/>
              </w:rPr>
              <w:t>0</w:t>
            </w:r>
          </w:p>
        </w:tc>
        <w:tc>
          <w:tcPr>
            <w:tcW w:type="dxa" w:w="1100"/>
          </w:tcPr>
          <w:p>
            <w:pPr>
              <w:jc w:val="right"/>
            </w:pPr>
            <w:r>
              <w:rPr>
                <w:b w:val="0"/>
                <w:sz w:val="18"/>
              </w:rPr>
              <w:t>1.000</w:t>
            </w:r>
          </w:p>
        </w:tc>
        <w:tc>
          <w:tcPr>
            <w:tcW w:type="dxa" w:w="1000"/>
          </w:tcPr>
          <w:p>
            <w:pPr>
              <w:jc w:val="right"/>
            </w:pPr>
            <w:r>
              <w:rPr>
                <w:b w:val="0"/>
                <w:sz w:val="18"/>
              </w:rPr>
              <w:t>1.000</w:t>
            </w:r>
          </w:p>
        </w:tc>
        <w:tc>
          <w:tcPr>
            <w:tcW w:type="dxa" w:w="900"/>
          </w:tcPr>
          <w:p>
            <w:pPr>
              <w:jc w:val="right"/>
            </w:pPr>
            <w:r>
              <w:rPr>
                <w:b w:val="0"/>
                <w:sz w:val="18"/>
              </w:rPr>
              <w:t>1.000</w:t>
            </w:r>
          </w:p>
        </w:tc>
        <w:tc>
          <w:tcPr>
            <w:tcW w:type="dxa" w:w="1100"/>
          </w:tcPr>
          <w:p>
            <w:pPr>
              <w:jc w:val="right"/>
            </w:pPr>
            <w:r>
              <w:rPr>
                <w:b w:val="0"/>
                <w:sz w:val="18"/>
              </w:rPr>
              <w:t>1.0000</w:t>
            </w:r>
          </w:p>
        </w:tc>
      </w:tr>
      <w:tr>
        <w:tc>
          <w:tcPr>
            <w:tcW w:type="dxa" w:w="2400"/>
            <w:shd w:val="clear" w:color="auto" w:fill="E8EEF5"/>
          </w:tcPr>
          <w:p>
            <w:r>
              <w:rPr>
                <w:b/>
                <w:sz w:val="18"/>
              </w:rPr>
              <w:t>All types</w:t>
            </w:r>
          </w:p>
        </w:tc>
        <w:tc>
          <w:tcPr>
            <w:tcW w:type="dxa" w:w="1000"/>
            <w:shd w:val="clear" w:color="auto" w:fill="E8EEF5"/>
          </w:tcPr>
          <w:p>
            <w:pPr>
              <w:jc w:val="right"/>
            </w:pPr>
            <w:r>
              <w:rPr>
                <w:b/>
                <w:sz w:val="18"/>
              </w:rPr>
              <w:t>682</w:t>
            </w:r>
          </w:p>
        </w:tc>
        <w:tc>
          <w:tcPr>
            <w:tcW w:type="dxa" w:w="800"/>
            <w:shd w:val="clear" w:color="auto" w:fill="E8EEF5"/>
          </w:tcPr>
          <w:p>
            <w:pPr>
              <w:jc w:val="right"/>
            </w:pPr>
            <w:r>
              <w:rPr>
                <w:b/>
                <w:sz w:val="18"/>
              </w:rPr>
              <w:t>662</w:t>
            </w:r>
          </w:p>
        </w:tc>
        <w:tc>
          <w:tcPr>
            <w:tcW w:type="dxa" w:w="700"/>
            <w:shd w:val="clear" w:color="auto" w:fill="E8EEF5"/>
          </w:tcPr>
          <w:p>
            <w:pPr>
              <w:jc w:val="right"/>
            </w:pPr>
            <w:r>
              <w:rPr>
                <w:b/>
                <w:sz w:val="18"/>
              </w:rPr>
              <w:t>0</w:t>
            </w:r>
          </w:p>
        </w:tc>
        <w:tc>
          <w:tcPr>
            <w:tcW w:type="dxa" w:w="700"/>
            <w:shd w:val="clear" w:color="auto" w:fill="E8EEF5"/>
          </w:tcPr>
          <w:p>
            <w:pPr>
              <w:jc w:val="right"/>
            </w:pPr>
            <w:r>
              <w:rPr>
                <w:b/>
                <w:sz w:val="18"/>
              </w:rPr>
              <w:t>20</w:t>
            </w:r>
          </w:p>
        </w:tc>
        <w:tc>
          <w:tcPr>
            <w:tcW w:type="dxa" w:w="1100"/>
            <w:shd w:val="clear" w:color="auto" w:fill="E8EEF5"/>
          </w:tcPr>
          <w:p>
            <w:pPr>
              <w:jc w:val="right"/>
            </w:pPr>
            <w:r>
              <w:rPr>
                <w:b/>
                <w:sz w:val="18"/>
              </w:rPr>
              <w:t>1.000</w:t>
            </w:r>
          </w:p>
        </w:tc>
        <w:tc>
          <w:tcPr>
            <w:tcW w:type="dxa" w:w="1000"/>
            <w:shd w:val="clear" w:color="auto" w:fill="E8EEF5"/>
          </w:tcPr>
          <w:p>
            <w:pPr>
              <w:jc w:val="right"/>
            </w:pPr>
            <w:r>
              <w:rPr>
                <w:b/>
                <w:sz w:val="18"/>
              </w:rPr>
              <w:t>0.971</w:t>
            </w:r>
          </w:p>
        </w:tc>
        <w:tc>
          <w:tcPr>
            <w:tcW w:type="dxa" w:w="900"/>
            <w:shd w:val="clear" w:color="auto" w:fill="E8EEF5"/>
          </w:tcPr>
          <w:p>
            <w:pPr>
              <w:jc w:val="right"/>
            </w:pPr>
            <w:r>
              <w:rPr>
                <w:b/>
                <w:sz w:val="18"/>
              </w:rPr>
              <w:t>0.985</w:t>
            </w:r>
          </w:p>
        </w:tc>
        <w:tc>
          <w:tcPr>
            <w:tcW w:type="dxa" w:w="1100"/>
            <w:shd w:val="clear" w:color="auto" w:fill="E8EEF5"/>
          </w:tcPr>
          <w:p>
            <w:pPr>
              <w:jc w:val="right"/>
            </w:pPr>
            <w:r>
              <w:rPr>
                <w:b/>
                <w:sz w:val="18"/>
              </w:rPr>
              <w:t>0.9993</w:t>
            </w:r>
          </w:p>
        </w:tc>
      </w:tr>
    </w:tbl>
    <w:p/>
    <w:p>
      <w:r>
        <w:rPr>
          <w:i w:val="0"/>
        </w:rPr>
        <w:t>SSNs, credit card numbers, dates of birth and IP addresses do not occur in this document, so they have no row. The rules for them are covered by unit tests (tests/). Web addresses are not on the assignment's list; they are redacted because a company web address identifies the company.</w:t>
      </w:r>
    </w:p>
    <w:p>
      <w:pPr>
        <w:pStyle w:val="Heading1"/>
      </w:pPr>
      <w:r>
        <w:t>5. Error analysis</w:t>
      </w:r>
    </w:p>
    <w:p>
      <w:r>
        <w:rPr>
          <w:i w:val="0"/>
        </w:rPr>
        <w:t>Wrongly redacted: nothing.</w:t>
      </w:r>
    </w:p>
    <w:p>
      <w:r>
        <w:rPr>
          <w:i w:val="0"/>
        </w:rPr>
        <w:t>Missed (20 spans):</w:t>
      </w:r>
    </w:p>
    <w:tbl>
      <w:tblPr>
        <w:tblStyle w:val="TableGrid"/>
        <w:tblW w:type="auto" w:w="0"/>
        <w:jc w:val="center"/>
        <w:tblLook w:firstColumn="1" w:firstRow="1" w:lastColumn="0" w:lastRow="0" w:noHBand="0" w:noVBand="1" w:val="04A0"/>
      </w:tblPr>
      <w:tblGrid>
        <w:gridCol w:w="3227"/>
        <w:gridCol w:w="3227"/>
        <w:gridCol w:w="3227"/>
      </w:tblGrid>
      <w:tr>
        <w:tc>
          <w:tcPr>
            <w:tcW w:type="dxa" w:w="2400"/>
            <w:shd w:val="clear" w:color="auto" w:fill="2F4B6E"/>
          </w:tcPr>
          <w:p>
            <w:r>
              <w:rPr>
                <w:b/>
                <w:color w:val="FFFFFF"/>
                <w:sz w:val="18"/>
              </w:rPr>
              <w:t>Type</w:t>
            </w:r>
          </w:p>
        </w:tc>
        <w:tc>
          <w:tcPr>
            <w:tcW w:type="dxa" w:w="5200"/>
            <w:shd w:val="clear" w:color="auto" w:fill="2F4B6E"/>
          </w:tcPr>
          <w:p>
            <w:r>
              <w:rPr>
                <w:b/>
                <w:color w:val="FFFFFF"/>
                <w:sz w:val="18"/>
              </w:rPr>
              <w:t>Text</w:t>
            </w:r>
          </w:p>
        </w:tc>
        <w:tc>
          <w:tcPr>
            <w:tcW w:type="dxa" w:w="1000"/>
            <w:shd w:val="clear" w:color="auto" w:fill="2F4B6E"/>
          </w:tcPr>
          <w:p>
            <w:r>
              <w:rPr>
                <w:b/>
                <w:color w:val="FFFFFF"/>
                <w:sz w:val="18"/>
              </w:rPr>
              <w:t>Times</w:t>
            </w:r>
          </w:p>
        </w:tc>
      </w:tr>
      <w:tr>
        <w:tc>
          <w:tcPr>
            <w:tcW w:type="dxa" w:w="2400"/>
          </w:tcPr>
          <w:p>
            <w:r>
              <w:rPr>
                <w:b w:val="0"/>
                <w:sz w:val="18"/>
              </w:rPr>
              <w:t>Company names</w:t>
            </w:r>
          </w:p>
        </w:tc>
        <w:tc>
          <w:tcPr>
            <w:tcW w:type="dxa" w:w="5200"/>
          </w:tcPr>
          <w:p>
            <w:pPr>
              <w:jc w:val="right"/>
            </w:pPr>
            <w:r>
              <w:rPr>
                <w:b w:val="0"/>
                <w:sz w:val="18"/>
              </w:rPr>
              <w:t>CareEdge Research</w:t>
            </w:r>
          </w:p>
        </w:tc>
        <w:tc>
          <w:tcPr>
            <w:tcW w:type="dxa" w:w="1000"/>
          </w:tcPr>
          <w:p>
            <w:pPr>
              <w:jc w:val="right"/>
            </w:pPr>
            <w:r>
              <w:rPr>
                <w:b w:val="0"/>
                <w:sz w:val="18"/>
              </w:rPr>
              <w:t>7</w:t>
            </w:r>
          </w:p>
        </w:tc>
      </w:tr>
      <w:tr>
        <w:tc>
          <w:tcPr>
            <w:tcW w:type="dxa" w:w="2400"/>
          </w:tcPr>
          <w:p>
            <w:r>
              <w:rPr>
                <w:b w:val="0"/>
                <w:sz w:val="18"/>
              </w:rPr>
              <w:t>Company names</w:t>
            </w:r>
          </w:p>
        </w:tc>
        <w:tc>
          <w:tcPr>
            <w:tcW w:type="dxa" w:w="5200"/>
          </w:tcPr>
          <w:p>
            <w:pPr>
              <w:jc w:val="right"/>
            </w:pPr>
            <w:r>
              <w:rPr>
                <w:b w:val="0"/>
                <w:sz w:val="18"/>
              </w:rPr>
              <w:t>I-Sec</w:t>
            </w:r>
          </w:p>
        </w:tc>
        <w:tc>
          <w:tcPr>
            <w:tcW w:type="dxa" w:w="1000"/>
          </w:tcPr>
          <w:p>
            <w:pPr>
              <w:jc w:val="right"/>
            </w:pPr>
            <w:r>
              <w:rPr>
                <w:b w:val="0"/>
                <w:sz w:val="18"/>
              </w:rPr>
              <w:t>7</w:t>
            </w:r>
          </w:p>
        </w:tc>
      </w:tr>
      <w:tr>
        <w:tc>
          <w:tcPr>
            <w:tcW w:type="dxa" w:w="2400"/>
          </w:tcPr>
          <w:p>
            <w:r>
              <w:rPr>
                <w:b w:val="0"/>
                <w:sz w:val="18"/>
              </w:rPr>
              <w:t>Company names</w:t>
            </w:r>
          </w:p>
        </w:tc>
        <w:tc>
          <w:tcPr>
            <w:tcW w:type="dxa" w:w="5200"/>
          </w:tcPr>
          <w:p>
            <w:pPr>
              <w:jc w:val="right"/>
            </w:pPr>
            <w:r>
              <w:rPr>
                <w:b w:val="0"/>
                <w:sz w:val="18"/>
              </w:rPr>
              <w:t>Sterlite Copper</w:t>
            </w:r>
          </w:p>
        </w:tc>
        <w:tc>
          <w:tcPr>
            <w:tcW w:type="dxa" w:w="1000"/>
          </w:tcPr>
          <w:p>
            <w:pPr>
              <w:jc w:val="right"/>
            </w:pPr>
            <w:r>
              <w:rPr>
                <w:b w:val="0"/>
                <w:sz w:val="18"/>
              </w:rPr>
              <w:t>1</w:t>
            </w:r>
          </w:p>
        </w:tc>
      </w:tr>
      <w:tr>
        <w:tc>
          <w:tcPr>
            <w:tcW w:type="dxa" w:w="2400"/>
          </w:tcPr>
          <w:p>
            <w:r>
              <w:rPr>
                <w:b w:val="0"/>
                <w:sz w:val="18"/>
              </w:rPr>
              <w:t>Full names</w:t>
            </w:r>
          </w:p>
        </w:tc>
        <w:tc>
          <w:tcPr>
            <w:tcW w:type="dxa" w:w="5200"/>
          </w:tcPr>
          <w:p>
            <w:pPr>
              <w:jc w:val="right"/>
            </w:pPr>
            <w:r>
              <w:rPr>
                <w:b w:val="0"/>
                <w:sz w:val="18"/>
              </w:rPr>
              <w:t>Gopal BO</w:t>
            </w:r>
          </w:p>
        </w:tc>
        <w:tc>
          <w:tcPr>
            <w:tcW w:type="dxa" w:w="1000"/>
          </w:tcPr>
          <w:p>
            <w:pPr>
              <w:jc w:val="right"/>
            </w:pPr>
            <w:r>
              <w:rPr>
                <w:b w:val="0"/>
                <w:sz w:val="18"/>
              </w:rPr>
              <w:t>1</w:t>
            </w:r>
          </w:p>
        </w:tc>
      </w:tr>
      <w:tr>
        <w:tc>
          <w:tcPr>
            <w:tcW w:type="dxa" w:w="2400"/>
          </w:tcPr>
          <w:p>
            <w:r>
              <w:rPr>
                <w:b w:val="0"/>
                <w:sz w:val="18"/>
              </w:rPr>
              <w:t>Company names</w:t>
            </w:r>
          </w:p>
        </w:tc>
        <w:tc>
          <w:tcPr>
            <w:tcW w:type="dxa" w:w="5200"/>
          </w:tcPr>
          <w:p>
            <w:pPr>
              <w:jc w:val="right"/>
            </w:pPr>
            <w:r>
              <w:rPr>
                <w:b w:val="0"/>
                <w:sz w:val="18"/>
              </w:rPr>
              <w:t>Trilegal</w:t>
            </w:r>
          </w:p>
        </w:tc>
        <w:tc>
          <w:tcPr>
            <w:tcW w:type="dxa" w:w="1000"/>
          </w:tcPr>
          <w:p>
            <w:pPr>
              <w:jc w:val="right"/>
            </w:pPr>
            <w:r>
              <w:rPr>
                <w:b w:val="0"/>
                <w:sz w:val="18"/>
              </w:rPr>
              <w:t>1</w:t>
            </w:r>
          </w:p>
        </w:tc>
      </w:tr>
      <w:tr>
        <w:tc>
          <w:tcPr>
            <w:tcW w:type="dxa" w:w="2400"/>
          </w:tcPr>
          <w:p>
            <w:r>
              <w:rPr>
                <w:b w:val="0"/>
                <w:sz w:val="18"/>
              </w:rPr>
              <w:t>Addresses</w:t>
            </w:r>
          </w:p>
        </w:tc>
        <w:tc>
          <w:tcPr>
            <w:tcW w:type="dxa" w:w="5200"/>
          </w:tcPr>
          <w:p>
            <w:pPr>
              <w:jc w:val="right"/>
            </w:pPr>
            <w:r>
              <w:rPr>
                <w:b w:val="0"/>
                <w:sz w:val="18"/>
              </w:rPr>
              <w:t>C-101, Embassy 247</w:t>
            </w:r>
          </w:p>
        </w:tc>
        <w:tc>
          <w:tcPr>
            <w:tcW w:type="dxa" w:w="1000"/>
          </w:tcPr>
          <w:p>
            <w:pPr>
              <w:jc w:val="right"/>
            </w:pPr>
            <w:r>
              <w:rPr>
                <w:b w:val="0"/>
                <w:sz w:val="18"/>
              </w:rPr>
              <w:t>1</w:t>
            </w:r>
          </w:p>
        </w:tc>
      </w:tr>
      <w:tr>
        <w:tc>
          <w:tcPr>
            <w:tcW w:type="dxa" w:w="2400"/>
          </w:tcPr>
          <w:p>
            <w:r>
              <w:rPr>
                <w:b w:val="0"/>
                <w:sz w:val="18"/>
              </w:rPr>
              <w:t>Company names</w:t>
            </w:r>
          </w:p>
        </w:tc>
        <w:tc>
          <w:tcPr>
            <w:tcW w:type="dxa" w:w="5200"/>
          </w:tcPr>
          <w:p>
            <w:pPr>
              <w:jc w:val="right"/>
            </w:pPr>
            <w:r>
              <w:rPr>
                <w:b w:val="0"/>
                <w:sz w:val="18"/>
              </w:rPr>
              <w:t>Citibank N.A.</w:t>
            </w:r>
          </w:p>
        </w:tc>
        <w:tc>
          <w:tcPr>
            <w:tcW w:type="dxa" w:w="1000"/>
          </w:tcPr>
          <w:p>
            <w:pPr>
              <w:jc w:val="right"/>
            </w:pPr>
            <w:r>
              <w:rPr>
                <w:b w:val="0"/>
                <w:sz w:val="18"/>
              </w:rPr>
              <w:t>1</w:t>
            </w:r>
          </w:p>
        </w:tc>
      </w:tr>
      <w:tr>
        <w:tc>
          <w:tcPr>
            <w:tcW w:type="dxa" w:w="2400"/>
          </w:tcPr>
          <w:p>
            <w:r>
              <w:rPr>
                <w:b w:val="0"/>
                <w:sz w:val="18"/>
              </w:rPr>
              <w:t>Company names</w:t>
            </w:r>
          </w:p>
        </w:tc>
        <w:tc>
          <w:tcPr>
            <w:tcW w:type="dxa" w:w="5200"/>
          </w:tcPr>
          <w:p>
            <w:pPr>
              <w:jc w:val="right"/>
            </w:pPr>
            <w:r>
              <w:rPr>
                <w:b w:val="0"/>
                <w:sz w:val="18"/>
              </w:rPr>
              <w:t>Export-Import Bank of India</w:t>
            </w:r>
          </w:p>
        </w:tc>
        <w:tc>
          <w:tcPr>
            <w:tcW w:type="dxa" w:w="1000"/>
          </w:tcPr>
          <w:p>
            <w:pPr>
              <w:jc w:val="right"/>
            </w:pPr>
            <w:r>
              <w:rPr>
                <w:b w:val="0"/>
                <w:sz w:val="18"/>
              </w:rPr>
              <w:t>1</w:t>
            </w:r>
          </w:p>
        </w:tc>
      </w:tr>
    </w:tbl>
    <w:p/>
    <w:p>
      <w:pPr>
        <w:pStyle w:val="ListBullet"/>
      </w:pPr>
      <w:r>
        <w:t>Organisations named without a legal suffix (I-Sec, CareEdge Research, Sterlite Copper, Trilegal, Citibank N.A., Export-Import Bank of India): the rules key on Limited / LLP / Trust / ... and on short forms of names that did carry a suffix.</w:t>
      </w:r>
    </w:p>
    <w:p>
      <w:pPr>
        <w:pStyle w:val="ListBullet"/>
      </w:pPr>
      <w:r>
        <w:t>"Gopal BO": a person written with an initials-style surname that no rule links to a known name.</w:t>
      </w:r>
    </w:p>
    <w:p>
      <w:pPr>
        <w:pStyle w:val="ListBullet"/>
      </w:pPr>
      <w:r>
        <w:t>"C-101, Embassy 247": the first line of an address whose postal code sits in the next table cell.</w:t>
      </w:r>
    </w:p>
    <w:p>
      <w:pPr>
        <w:pStyle w:val="ListBullet"/>
      </w:pPr>
      <w:r>
        <w:t>Reference numbers were left alone on purpose: CIN, SEBI registration numbers, firm registration and peer-review numbers.</w:t>
      </w:r>
    </w:p>
    <w:p>
      <w:pPr>
        <w:pStyle w:val="Heading1"/>
      </w:pPr>
      <w:r>
        <w:t>6. How far to trust these numbers</w:t>
      </w:r>
    </w:p>
    <w:p>
      <w:pPr>
        <w:pStyle w:val="ListBullet"/>
      </w:pPr>
      <w:r>
        <w:t>One person did the review, and only PII that the reviewer noticed can count as missed. Precision (no wrong redactions found) can therefore be too high, and recall too high if something was overlooked. A second, independent reviewer was not available.</w:t>
      </w:r>
    </w:p>
    <w:p>
      <w:pPr>
        <w:pStyle w:val="ListBullet"/>
      </w:pPr>
      <w:r>
        <w:t>The redactor's rules were adjusted while the review went on, so the numbers describe the final rules on this document. They are not a prediction for other documents.</w:t>
      </w:r>
    </w:p>
    <w:p>
      <w:pPr>
        <w:pStyle w:val="ListBullet"/>
      </w:pPr>
      <w:r>
        <w:t>One document was used. Other layouts and name styles will score differently; person recall in particular depends on cues in the text and on a short list of given names.</w:t>
      </w:r>
    </w:p>
    <w:p>
      <w:pPr>
        <w:pStyle w:val="ListBullet"/>
      </w:pPr>
      <w:r>
        <w:t>Types that do not occur in the document (SSN, credit card, date of birth, IP address) are not scored here.</w:t>
      </w:r>
    </w:p>
    <w:p>
      <w:pPr>
        <w:pStyle w:val="Heading1"/>
      </w:pPr>
      <w:r>
        <w:t>7. Reproduce</w:t>
      </w:r>
    </w:p>
    <w:p>
      <w:r>
        <w:rPr>
          <w:i w:val="0"/>
        </w:rPr>
        <w:t>python redact.py "Red Herring Prospectus.docx" -o "Redacted Prospectus.docx"</w:t>
        <w:br/>
        <w:t>python evaluation/run_evaluation.py</w:t>
        <w:br/>
        <w:t>python evaluation/report_docx.py</w:t>
      </w:r>
    </w:p>
    <w:sectPr w:rsidR="00FC693F" w:rsidRPr="0006063C" w:rsidSect="00034616">
      <w:pgSz w:w="12240" w:h="15840"/>
      <w:pgMar w:top="1200" w:right="1280" w:bottom="120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