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RWB-000 Exploratory Selection and Protocol Freeze</w:t>
      </w:r>
    </w:p>
    <w:p>
      <w:pPr>
        <w:jc w:val="center"/>
      </w:pPr>
      <w:r>
        <w:rPr>
          <w:b/>
        </w:rPr>
        <w:t>PV-PP Real-World Benchmark Program | Initial Exploratory Charter | August 2026</w:t>
      </w:r>
    </w:p>
    <w:p>
      <w:pPr>
        <w:pStyle w:val="Heading1"/>
      </w:pPr>
      <w:r>
        <w:t>1. Purpose</w:t>
      </w:r>
    </w:p>
    <w:p>
      <w:r>
        <w:t>This document freezes the initial exploratory selection and testing protocol for a third class of Productive Value-Productive Power (PV-PP) public benchmark work: externally defined real-world constrained decision problems. The purpose is to determine whether the frozen PV-PP architecture can faithfully represent real-world decisions without rewriting the source problem into a form designed to favor PV-PP.</w:t>
      </w:r>
    </w:p>
    <w:p>
      <w:pPr>
        <w:pStyle w:val="Heading1"/>
      </w:pPr>
      <w:r>
        <w:t>2. Source Benchmark Family</w:t>
      </w:r>
    </w:p>
    <w:p>
      <w:r>
        <w:t>The initial source family is the MOEA Framework RealWorldBenchmarks collection, which assembles published real-world multi- and many-objective optimization problems and associated implementations. The source family is being used as an external problem source, not as PV-PP authority.</w:t>
      </w:r>
    </w:p>
    <w:p>
      <w:r>
        <w:t>Primary public source: https://github.com/MOEAFramework/RealWorldBenchmarks</w:t>
      </w:r>
    </w:p>
    <w:p>
      <w:pPr>
        <w:pStyle w:val="Heading1"/>
      </w:pPr>
      <w:r>
        <w:t>3. Initial Pre-Result Selection Freeze</w:t>
      </w:r>
    </w:p>
    <w:p>
      <w:r>
        <w:t>The following three cases are selected before substantive PV-PP outcome analysis. They will not be replaced merely because a result is unfavorable, difficult, redundant, or exposes a limitation.</w:t>
      </w:r>
    </w:p>
    <w:p>
      <w:pPr>
        <w:pStyle w:val="Heading2"/>
      </w:pPr>
      <w:r>
        <w:t>RWB-001 — Water Supply Portfolio Planning</w:t>
      </w:r>
    </w:p>
    <w:p>
      <w:r>
        <w:t>Initial resource-allocation case. The published benchmark representation contains 8 decision variables, 5 objectives, and 4 constraints. It is selected because it directly stresses competing productive consequences, constrained resource allocation, feasibility, adequacy, and uncertainty.</w:t>
      </w:r>
    </w:p>
    <w:p>
      <w:pPr>
        <w:pStyle w:val="Heading2"/>
      </w:pPr>
      <w:r>
        <w:t>RWB-002 — Lake Pollution Control Policy</w:t>
      </w:r>
    </w:p>
    <w:p>
      <w:r>
        <w:t>Dynamic environmental-policy case. The published benchmark representation contains 100 decision variables, 4 objectives, and 1 constraint. It is selected to stress projection across time, uncertain threshold behavior, persistent consequences, and the distinction between attractive outcomes and acceptable policy corridors.</w:t>
      </w:r>
    </w:p>
    <w:p>
      <w:pPr>
        <w:pStyle w:val="Heading2"/>
      </w:pPr>
      <w:r>
        <w:t>RWB-003 — General Aviation Aircraft</w:t>
      </w:r>
    </w:p>
    <w:p>
      <w:r>
        <w:t>Engineering/product-design case. The published benchmark representation contains 27 decision variables, 10 objectives, and 1 constraint. It is selected to provide a structurally different productive system involving multiple performance and economic objectives rather than a third environmental-management problem.</w:t>
      </w:r>
    </w:p>
    <w:p>
      <w:pPr>
        <w:pStyle w:val="Heading1"/>
      </w:pPr>
      <w:r>
        <w:t>4. Governing Research Question</w:t>
      </w:r>
    </w:p>
    <w:p>
      <w:r>
        <w:rPr>
          <w:b/>
        </w:rPr>
        <w:t>Can the frozen PV-PP architecture faithfully represent externally defined real-world constrained decisions while preserving the objectives, constraints, uncertainty, and decision structure of the original problem?</w:t>
      </w:r>
    </w:p>
    <w:p>
      <w:pPr>
        <w:pStyle w:val="Heading1"/>
      </w:pPr>
      <w:r>
        <w:t>5. Protocol Freeze</w:t>
      </w:r>
    </w:p>
    <w:p>
      <w:pPr>
        <w:pStyle w:val="ListBullet"/>
      </w:pPr>
      <w:r>
        <w:t>The canonical PV-PP architecture remains frozen during RWB-001 through RWB-003.</w:t>
      </w:r>
    </w:p>
    <w:p>
      <w:pPr>
        <w:pStyle w:val="ListBullet"/>
      </w:pPr>
      <w:r>
        <w:t>The source problem must be reconstructed from its public code and literature before constructing the PV-PP representation.</w:t>
      </w:r>
    </w:p>
    <w:p>
      <w:pPr>
        <w:pStyle w:val="ListBullet"/>
      </w:pPr>
      <w:r>
        <w:t>Source objectives, constraints, uncertainty, state variables, and decision variables must be preserved or explicitly mapped; they may not be silently replaced with more convenient PV-PP constructs.</w:t>
      </w:r>
    </w:p>
    <w:p>
      <w:pPr>
        <w:pStyle w:val="ListBullet"/>
      </w:pPr>
      <w:r>
        <w:t>A PV-PP representation counts against the framework if it works only by materially changing what the original problem asks.</w:t>
      </w:r>
    </w:p>
    <w:p>
      <w:pPr>
        <w:pStyle w:val="ListBullet"/>
      </w:pPr>
      <w:r>
        <w:t>Benchmark-specific canonical operators or state primitives may not be introduced merely to rescue a failed case.</w:t>
      </w:r>
    </w:p>
    <w:p>
      <w:pPr>
        <w:pStyle w:val="ListBullet"/>
      </w:pPr>
      <w:r>
        <w:t>Failures, awkward results, implementation errors, fixture corrections, fidelity limits, and unresolved formalization gaps remain in the record.</w:t>
      </w:r>
    </w:p>
    <w:p>
      <w:pPr>
        <w:pStyle w:val="ListBullet"/>
      </w:pPr>
      <w:r>
        <w:t>A test-fixture or translation error must be distinguished from a policy failure, representational failure, formalization gap, or architectural failure.</w:t>
      </w:r>
    </w:p>
    <w:p>
      <w:pPr>
        <w:pStyle w:val="ListBullet"/>
      </w:pPr>
      <w:r>
        <w:t>Scalar reduction is neither presumed valid nor presumed invalid. Where a stable scalar representation is demonstrably sufficient, that counts as containment evidence.</w:t>
      </w:r>
    </w:p>
    <w:p>
      <w:pPr>
        <w:pStyle w:val="ListBullet"/>
      </w:pPr>
      <w:r>
        <w:t>Real-world benchmark objectives are not automatically PV-PP domains. Domain Framing must determine their functional role.</w:t>
      </w:r>
    </w:p>
    <w:p>
      <w:pPr>
        <w:pStyle w:val="ListBullet"/>
      </w:pPr>
      <w:r>
        <w:t>No claim of complete-suite coverage will be made during this exploratory three-case stage.</w:t>
      </w:r>
    </w:p>
    <w:p>
      <w:pPr>
        <w:pStyle w:val="Heading1"/>
      </w:pPr>
      <w:r>
        <w:t>6. Evidence and Fidelity Requirements</w:t>
      </w:r>
    </w:p>
    <w:p>
      <w:r>
        <w:t>Each benchmark should preserve a traceable chain from the external source problem to the PV-PP representation and result. Where direct execution of the original implementation is impractical, a source-faithful analytical or mechanism-level adapter may be used, but the limitation must be stated explicitly. Claims must be bounded to the method actually executed.</w:t>
      </w:r>
    </w:p>
    <w:p>
      <w:pPr>
        <w:pStyle w:val="Heading1"/>
      </w:pPr>
      <w:r>
        <w:t>7. Result Classification</w:t>
      </w:r>
    </w:p>
    <w:p>
      <w:r>
        <w:rPr>
          <w:b/>
        </w:rPr>
        <w:t xml:space="preserve">C — Containment: </w:t>
      </w:r>
      <w:r>
        <w:t>A simpler scalar or conventional representation is sufficient for the tested decision structure.</w:t>
      </w:r>
    </w:p>
    <w:p>
      <w:r>
        <w:rPr>
          <w:b/>
        </w:rPr>
        <w:t xml:space="preserve">P — Multidimensional Preservation: </w:t>
      </w:r>
      <w:r>
        <w:t>Decision-relevant alternatives or consequences require retained multidimensional structure under the tested reduction class.</w:t>
      </w:r>
    </w:p>
    <w:p>
      <w:r>
        <w:rPr>
          <w:b/>
        </w:rPr>
        <w:t xml:space="preserve">A — Adequacy / Constraint Distinction: </w:t>
      </w:r>
      <w:r>
        <w:t>Feasibility or adequacy must be distinguished from ordinary maximization or compensable preference.</w:t>
      </w:r>
    </w:p>
    <w:p>
      <w:r>
        <w:rPr>
          <w:b/>
        </w:rPr>
        <w:t xml:space="preserve">F — Fallback / Infeasibility: </w:t>
      </w:r>
      <w:r>
        <w:t>The framed requirements admit no fully adequate solution and the architecture must represent fallback without relabeling it adequate.</w:t>
      </w:r>
    </w:p>
    <w:p>
      <w:r>
        <w:rPr>
          <w:b/>
        </w:rPr>
        <w:t xml:space="preserve">G — Formalization Gap: </w:t>
      </w:r>
      <w:r>
        <w:t>The required capability appears compatible with PV-PP's architecture but is underformalized in the current canonical specification.</w:t>
      </w:r>
    </w:p>
    <w:p>
      <w:r>
        <w:rPr>
          <w:b/>
        </w:rPr>
        <w:t xml:space="preserve">X — Architecture Failure: </w:t>
      </w:r>
      <w:r>
        <w:t>The frozen architecture lacks a capability required to represent the source decision without materially changing the problem.</w:t>
      </w:r>
    </w:p>
    <w:p>
      <w:pPr>
        <w:pStyle w:val="Heading1"/>
      </w:pPr>
      <w:r>
        <w:t>8. Stop-and-Assess Rule</w:t>
      </w:r>
    </w:p>
    <w:p>
      <w:r>
        <w:t>After RWB-003, the exploratory program stops for assessment. Expansion to the remainder of the RealWorldBenchmarks collection is not automatic. Expansion should occur only if the first three cases provide genuinely new information, expose unresolved questions worth systematic coverage, or make complete-suite testing methodologically valuable. If the results largely duplicate evidence already established by earlier public benchmark programs, that outcome will be documented rather than manufacturing a larger program for benchmark-count purposes.</w:t>
      </w:r>
    </w:p>
    <w:p>
      <w:pPr>
        <w:pStyle w:val="Heading1"/>
      </w:pPr>
      <w:r>
        <w:t>9. Initial Status</w:t>
      </w:r>
    </w:p>
    <w:p>
      <w:r>
        <w:t>RWB-000: FROZEN — exploratory selection and protocol established.</w:t>
      </w:r>
    </w:p>
    <w:p>
      <w:r>
        <w:t>RWB-001: SELECTED — substantive source reconstruction not yet begun.</w:t>
      </w:r>
    </w:p>
    <w:p>
      <w:r>
        <w:t>RWB-002: SELECTED — substantive source reconstruction not yet begun.</w:t>
      </w:r>
    </w:p>
    <w:p>
      <w:r>
        <w:t>RWB-003: SELECTED — substantive source reconstruction not yet begun.</w:t>
      </w:r>
    </w:p>
    <w:p>
      <w:pPr>
        <w:pStyle w:val="Heading1"/>
      </w:pPr>
      <w:r>
        <w:t>10. Authority Boundary</w:t>
      </w:r>
    </w:p>
    <w:p>
      <w:r>
        <w:t>This charter governs the RWB exploratory benchmark program. It does not modify canonical PV-PP architecture. Benchmark findings are research evidence. Any later canonical clarification or revision must occur through the framework's separate controlled authority and promotion process.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