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RWB-001 Controlled Structural Execution</w:t>
      </w:r>
    </w:p>
    <w:p>
      <w:pPr>
        <w:jc w:val="center"/>
      </w:pPr>
      <w:r>
        <w:rPr>
          <w:b/>
        </w:rPr>
        <w:t>Lower Rio Grande Valley Water Supply Portfolio Planning</w:t>
        <w:br/>
        <w:t>PV-PP Real-World Benchmark Program | August 2026</w:t>
      </w:r>
    </w:p>
    <w:p>
      <w:pPr>
        <w:pStyle w:val="Heading1"/>
      </w:pPr>
      <w:r>
        <w:t>1. Status</w:t>
      </w:r>
    </w:p>
    <w:p>
      <w:r>
        <w:t>This is a controlled source-derived structural execution, not a native run of the current RealWorldBenchmarks LRGV simulator. It tests whether the frozen PV-PP architecture can preserve the decision distinctions reported in the public LRGV literature and current repository metadata. It does not yet authorize a publication-grade final RWB-001 PASS/FAIL.</w:t>
      </w:r>
    </w:p>
    <w:p>
      <w:pPr>
        <w:pStyle w:val="Heading1"/>
      </w:pPr>
      <w:r>
        <w:t>2. Source Lock Improved</w:t>
      </w:r>
    </w:p>
    <w:p>
      <w:r>
        <w:t>The public RealWorldBenchmarks repository currently identifies LRGV as an 8-variable, 5-objective, 4-constraint problem. Additional published LRGV material independently identifies the five-objective form as minimizing expected water-supply cost, minimizing surplus water, minimizing dropped or unused transfers, minimizing the number of leases, and maximizing reliability.</w:t>
      </w:r>
    </w:p>
    <w:p>
      <w:r>
        <w:t>A published LRGV many-objective formulation also specifies four strict performance constraints: 10-year reliability &gt;= 0.98; cost variability &lt;= 1.10; 10-year critical reliability &gt;= 0.99; and drought reliability = 1.00. The source authors explicitly describe these as acceptable-performance limits rather than merely additional compensable preferences.</w:t>
      </w:r>
    </w:p>
    <w:p>
      <w:r>
        <w:t>These constraints materially strengthen the PV-PP test because they give us an externally defined adequacy boundary. The controlled execution below uses those published thresholds. The exact current LRGV.java implementation still remains to be inspected before final closeout.</w:t>
      </w:r>
    </w:p>
    <w:p>
      <w:pPr>
        <w:pStyle w:val="Heading1"/>
      </w:pPr>
      <w:r>
        <w:t>3. Execution Method</w:t>
      </w:r>
    </w:p>
    <w:p>
      <w:r>
        <w:t>A small source-faithful mechanism harness was constructed around four controlled portfolio outcome profiles. The numerical portfolio outcomes are test fixtures, not claimed outputs of the native LRGV simulator. Their purpose is to exercise the source-defined relationships: rights-heavy versus market-heavy supply portfolios, strict reliability constraints, lower-cost but inadequate portfolios, and explicit fallback when no fully adequate candidate is available.</w:t>
      </w:r>
    </w:p>
    <w:p>
      <w:r>
        <w:br w:type="page"/>
      </w:r>
    </w:p>
    <w:p>
      <w:pPr>
        <w:pStyle w:val="Heading1"/>
      </w:pPr>
      <w:r>
        <w:t>4. Controlled Portfolios</w:t>
      </w:r>
    </w:p>
    <w:tbl>
      <w:tblPr>
        <w:tblStyle w:val="TableGrid"/>
        <w:tblW w:type="auto" w:w="0"/>
        <w:tblLook w:firstColumn="1" w:firstRow="1" w:lastColumn="0" w:lastRow="0" w:noHBand="0" w:noVBand="1" w:val="04A0"/>
      </w:tblPr>
      <w:tblGrid>
        <w:gridCol w:w="1440"/>
        <w:gridCol w:w="1440"/>
        <w:gridCol w:w="1440"/>
        <w:gridCol w:w="1440"/>
        <w:gridCol w:w="1440"/>
        <w:gridCol w:w="1440"/>
        <w:gridCol w:w="1440"/>
      </w:tblGrid>
      <w:tr>
        <w:tc>
          <w:tcPr>
            <w:tcW w:type="dxa" w:w="1440"/>
          </w:tcPr>
          <w:p>
            <w:r>
              <w:t>Portfolio</w:t>
            </w:r>
          </w:p>
        </w:tc>
        <w:tc>
          <w:tcPr>
            <w:tcW w:type="dxa" w:w="1440"/>
          </w:tcPr>
          <w:p>
            <w:r>
              <w:t>Rights</w:t>
            </w:r>
          </w:p>
        </w:tc>
        <w:tc>
          <w:tcPr>
            <w:tcW w:type="dxa" w:w="1440"/>
          </w:tcPr>
          <w:p>
            <w:r>
              <w:t>Leases</w:t>
            </w:r>
          </w:p>
        </w:tc>
        <w:tc>
          <w:tcPr>
            <w:tcW w:type="dxa" w:w="1440"/>
          </w:tcPr>
          <w:p>
            <w:r>
              <w:t>Cost</w:t>
            </w:r>
          </w:p>
        </w:tc>
        <w:tc>
          <w:tcPr>
            <w:tcW w:type="dxa" w:w="1440"/>
          </w:tcPr>
          <w:p>
            <w:r>
              <w:t>Reliability</w:t>
            </w:r>
          </w:p>
        </w:tc>
        <w:tc>
          <w:tcPr>
            <w:tcW w:type="dxa" w:w="1440"/>
          </w:tcPr>
          <w:p>
            <w:r>
              <w:t>Critical rel.</w:t>
            </w:r>
          </w:p>
        </w:tc>
        <w:tc>
          <w:tcPr>
            <w:tcW w:type="dxa" w:w="1440"/>
          </w:tcPr>
          <w:p>
            <w:r>
              <w:t>Adequate?</w:t>
            </w:r>
          </w:p>
        </w:tc>
      </w:tr>
      <w:tr>
        <w:tc>
          <w:tcPr>
            <w:tcW w:type="dxa" w:w="1440"/>
          </w:tcPr>
          <w:p>
            <w:r>
              <w:t>Rights-heavy feasible</w:t>
            </w:r>
          </w:p>
        </w:tc>
        <w:tc>
          <w:tcPr>
            <w:tcW w:type="dxa" w:w="1440"/>
          </w:tcPr>
          <w:p>
            <w:r>
              <w:t>58,000</w:t>
            </w:r>
          </w:p>
        </w:tc>
        <w:tc>
          <w:tcPr>
            <w:tcW w:type="dxa" w:w="1440"/>
          </w:tcPr>
          <w:p>
            <w:r>
              <w:t>1.5</w:t>
            </w:r>
          </w:p>
        </w:tc>
        <w:tc>
          <w:tcPr>
            <w:tcW w:type="dxa" w:w="1440"/>
          </w:tcPr>
          <w:p>
            <w:r>
              <w:t>1.60</w:t>
            </w:r>
          </w:p>
        </w:tc>
        <w:tc>
          <w:tcPr>
            <w:tcW w:type="dxa" w:w="1440"/>
          </w:tcPr>
          <w:p>
            <w:r>
              <w:t>0.995</w:t>
            </w:r>
          </w:p>
        </w:tc>
        <w:tc>
          <w:tcPr>
            <w:tcW w:type="dxa" w:w="1440"/>
          </w:tcPr>
          <w:p>
            <w:r>
              <w:t>0.997</w:t>
            </w:r>
          </w:p>
        </w:tc>
        <w:tc>
          <w:tcPr>
            <w:tcW w:type="dxa" w:w="1440"/>
          </w:tcPr>
          <w:p>
            <w:r>
              <w:t>YES</w:t>
            </w:r>
          </w:p>
        </w:tc>
      </w:tr>
      <w:tr>
        <w:tc>
          <w:tcPr>
            <w:tcW w:type="dxa" w:w="1440"/>
          </w:tcPr>
          <w:p>
            <w:r>
              <w:t>Market-heavy feasible</w:t>
            </w:r>
          </w:p>
        </w:tc>
        <w:tc>
          <w:tcPr>
            <w:tcW w:type="dxa" w:w="1440"/>
          </w:tcPr>
          <w:p>
            <w:r>
              <w:t>34,000</w:t>
            </w:r>
          </w:p>
        </w:tc>
        <w:tc>
          <w:tcPr>
            <w:tcW w:type="dxa" w:w="1440"/>
          </w:tcPr>
          <w:p>
            <w:r>
              <w:t>7.0</w:t>
            </w:r>
          </w:p>
        </w:tc>
        <w:tc>
          <w:tcPr>
            <w:tcW w:type="dxa" w:w="1440"/>
          </w:tcPr>
          <w:p>
            <w:r>
              <w:t>0.78</w:t>
            </w:r>
          </w:p>
        </w:tc>
        <w:tc>
          <w:tcPr>
            <w:tcW w:type="dxa" w:w="1440"/>
          </w:tcPr>
          <w:p>
            <w:r>
              <w:t>0.991</w:t>
            </w:r>
          </w:p>
        </w:tc>
        <w:tc>
          <w:tcPr>
            <w:tcW w:type="dxa" w:w="1440"/>
          </w:tcPr>
          <w:p>
            <w:r>
              <w:t>0.994</w:t>
            </w:r>
          </w:p>
        </w:tc>
        <w:tc>
          <w:tcPr>
            <w:tcW w:type="dxa" w:w="1440"/>
          </w:tcPr>
          <w:p>
            <w:r>
              <w:t>YES</w:t>
            </w:r>
          </w:p>
        </w:tc>
      </w:tr>
      <w:tr>
        <w:tc>
          <w:tcPr>
            <w:tcW w:type="dxa" w:w="1440"/>
          </w:tcPr>
          <w:p>
            <w:r>
              <w:t>Cheap but catastrophic</w:t>
            </w:r>
          </w:p>
        </w:tc>
        <w:tc>
          <w:tcPr>
            <w:tcW w:type="dxa" w:w="1440"/>
          </w:tcPr>
          <w:p>
            <w:r>
              <w:t>30,000</w:t>
            </w:r>
          </w:p>
        </w:tc>
        <w:tc>
          <w:tcPr>
            <w:tcW w:type="dxa" w:w="1440"/>
          </w:tcPr>
          <w:p>
            <w:r>
              <w:t>2.0</w:t>
            </w:r>
          </w:p>
        </w:tc>
        <w:tc>
          <w:tcPr>
            <w:tcW w:type="dxa" w:w="1440"/>
          </w:tcPr>
          <w:p>
            <w:r>
              <w:t>0.42</w:t>
            </w:r>
          </w:p>
        </w:tc>
        <w:tc>
          <w:tcPr>
            <w:tcW w:type="dxa" w:w="1440"/>
          </w:tcPr>
          <w:p>
            <w:r>
              <w:t>0.970</w:t>
            </w:r>
          </w:p>
        </w:tc>
        <w:tc>
          <w:tcPr>
            <w:tcW w:type="dxa" w:w="1440"/>
          </w:tcPr>
          <w:p>
            <w:r>
              <w:t>0.940</w:t>
            </w:r>
          </w:p>
        </w:tc>
        <w:tc>
          <w:tcPr>
            <w:tcW w:type="dxa" w:w="1440"/>
          </w:tcPr>
          <w:p>
            <w:r>
              <w:t>NO</w:t>
            </w:r>
          </w:p>
        </w:tc>
      </w:tr>
      <w:tr>
        <w:tc>
          <w:tcPr>
            <w:tcW w:type="dxa" w:w="1440"/>
          </w:tcPr>
          <w:p>
            <w:r>
              <w:t>No-full-adequacy fallback</w:t>
            </w:r>
          </w:p>
        </w:tc>
        <w:tc>
          <w:tcPr>
            <w:tcW w:type="dxa" w:w="1440"/>
          </w:tcPr>
          <w:p>
            <w:r>
              <w:t>32,000</w:t>
            </w:r>
          </w:p>
        </w:tc>
        <w:tc>
          <w:tcPr>
            <w:tcW w:type="dxa" w:w="1440"/>
          </w:tcPr>
          <w:p>
            <w:r>
              <w:t>5.0</w:t>
            </w:r>
          </w:p>
        </w:tc>
        <w:tc>
          <w:tcPr>
            <w:tcW w:type="dxa" w:w="1440"/>
          </w:tcPr>
          <w:p>
            <w:r>
              <w:t>0.68</w:t>
            </w:r>
          </w:p>
        </w:tc>
        <w:tc>
          <w:tcPr>
            <w:tcW w:type="dxa" w:w="1440"/>
          </w:tcPr>
          <w:p>
            <w:r>
              <w:t>0.979</w:t>
            </w:r>
          </w:p>
        </w:tc>
        <w:tc>
          <w:tcPr>
            <w:tcW w:type="dxa" w:w="1440"/>
          </w:tcPr>
          <w:p>
            <w:r>
              <w:t>0.988</w:t>
            </w:r>
          </w:p>
        </w:tc>
        <w:tc>
          <w:tcPr>
            <w:tcW w:type="dxa" w:w="1440"/>
          </w:tcPr>
          <w:p>
            <w:r>
              <w:t>NO</w:t>
            </w:r>
          </w:p>
        </w:tc>
      </w:tr>
    </w:tbl>
    <w:p>
      <w:pPr>
        <w:pStyle w:val="Heading1"/>
      </w:pPr>
      <w:r>
        <w:t>5. Test Results</w:t>
      </w:r>
    </w:p>
    <w:p>
      <w:r>
        <w:rPr>
          <w:b/>
        </w:rPr>
        <w:t xml:space="preserve">T1 — Representation fidelity: </w:t>
      </w:r>
      <w:r>
        <w:t>PASS</w:t>
      </w:r>
    </w:p>
    <w:p>
      <w:r>
        <w:rPr>
          <w:b/>
        </w:rPr>
        <w:t xml:space="preserve">T2 — Constraint before preference: </w:t>
      </w:r>
      <w:r>
        <w:t>PASS</w:t>
      </w:r>
    </w:p>
    <w:p>
      <w:r>
        <w:rPr>
          <w:b/>
        </w:rPr>
        <w:t xml:space="preserve">T3 — Persistent capacity versus transaction: </w:t>
      </w:r>
      <w:r>
        <w:t>PASS</w:t>
      </w:r>
    </w:p>
    <w:p>
      <w:r>
        <w:rPr>
          <w:b/>
        </w:rPr>
        <w:t xml:space="preserve">T4 — Uncertainty and information: </w:t>
      </w:r>
      <w:r>
        <w:t>PASS</w:t>
      </w:r>
    </w:p>
    <w:p>
      <w:r>
        <w:rPr>
          <w:b/>
        </w:rPr>
        <w:t xml:space="preserve">T5 — Disjoint portfolio families retained: </w:t>
      </w:r>
      <w:r>
        <w:t>PASS</w:t>
      </w:r>
    </w:p>
    <w:p>
      <w:r>
        <w:rPr>
          <w:b/>
        </w:rPr>
        <w:t xml:space="preserve">T6 — Scalar containment probe: </w:t>
      </w:r>
      <w:r>
        <w:t>PASS</w:t>
      </w:r>
    </w:p>
    <w:p>
      <w:r>
        <w:rPr>
          <w:b/>
        </w:rPr>
        <w:t xml:space="preserve">T7 — Fallback without false adequacy: </w:t>
      </w:r>
      <w:r>
        <w:t>PASS</w:t>
      </w:r>
    </w:p>
    <w:p>
      <w:r>
        <w:t>Controlled execution total: 7/7 tests passed.</w:t>
      </w:r>
    </w:p>
    <w:p>
      <w:pPr>
        <w:pStyle w:val="Heading1"/>
      </w:pPr>
      <w:r>
        <w:t>6. What the Seven Tests Establish</w:t>
      </w:r>
    </w:p>
    <w:p>
      <w:pPr>
        <w:pStyle w:val="ListBullet"/>
      </w:pPr>
      <w:r>
        <w:t>The eight-dimensional policy choice can be represented without collapsing permanent rights, adaptive options, and anticipatory lease rules into a single control variable.</w:t>
      </w:r>
    </w:p>
    <w:p>
      <w:pPr>
        <w:pStyle w:val="ListBullet"/>
      </w:pPr>
      <w:r>
        <w:t>A cheaper portfolio that violates externally defined reliability limits can be rejected as inadequate before ordinary preference ranking. This is a direct adequacy-versus-maximization test.</w:t>
      </w:r>
    </w:p>
    <w:p>
      <w:pPr>
        <w:pStyle w:val="ListBullet"/>
      </w:pPr>
      <w:r>
        <w:t>Permanent rights and spot leases can remain functionally distinct: one supplies persistent access capacity; the other is a transactional acquisition mechanism.</w:t>
      </w:r>
    </w:p>
    <w:p>
      <w:pPr>
        <w:pStyle w:val="ListBullet"/>
      </w:pPr>
      <w:r>
        <w:t>Ordinary reliability, critical reliability, and drought reliability can remain separate projected performance quantities rather than being fused into one undifferentiated score.</w:t>
      </w:r>
    </w:p>
    <w:p>
      <w:pPr>
        <w:pStyle w:val="ListBullet"/>
      </w:pPr>
      <w:r>
        <w:t>Both rights-heavy and market-heavy feasible solution families can survive adequacy filtering. PV-PP does not require one family to disappear merely because their productive structures differ.</w:t>
      </w:r>
    </w:p>
    <w:p>
      <w:pPr>
        <w:pStyle w:val="ListBullet"/>
      </w:pPr>
      <w:r>
        <w:t>Within a deliberately restricted feasible comparison, a stable scalar ordering can be accepted. The framework therefore still contains the scalar case where reduction is demonstrably safe.</w:t>
      </w:r>
    </w:p>
    <w:p>
      <w:pPr>
        <w:pStyle w:val="ListBullet"/>
      </w:pPr>
      <w:r>
        <w:t>When only inadequate candidates are available, a least-bad fallback can be selected while remaining explicitly labeled inadequate.</w:t>
      </w:r>
    </w:p>
    <w:p>
      <w:pPr>
        <w:pStyle w:val="Heading1"/>
      </w:pPr>
      <w:r>
        <w:t>7. Important Non-Result</w:t>
      </w:r>
    </w:p>
    <w:p>
      <w:r>
        <w:t>The 7/7 result is NOT evidence that PV-PP has solved the native LRGV optimization problem. The harness does not search the actual LRGV decision space, reproduce its 10-year Monte Carlo simulator, or reconstruct its Pareto frontier. It establishes only that the source-defined structural distinctions tested here can be represented without adding a new canonical PV-PP operator.</w:t>
      </w:r>
    </w:p>
    <w:p>
      <w:pPr>
        <w:pStyle w:val="Heading1"/>
      </w:pPr>
      <w:r>
        <w:t>8. Current Architectural Reading</w:t>
      </w:r>
    </w:p>
    <w:p>
      <w:r>
        <w:t>No new canonical operator or state primitive is indicated by this controlled execution. Existing PV-PP distinctions appear sufficient at the structural level: persistent PP, transactional PV exchange, informational/perceived state, constraints, adequacy, multidimensional projected consequences, selection, and explicit fallback.</w:t>
      </w:r>
    </w:p>
    <w:p>
      <w:r>
        <w:t>The most important externally anchored result so far is the adequacy distinction. The source literature itself defines strict reliability requirements as acceptable-performance limits. That maps naturally to PV-PP's separation of feasibility/adequacy from ordinary compensatory ranking rather than requiring us to invent that distinction for the benchmark.</w:t>
      </w:r>
    </w:p>
    <w:p>
      <w:pPr>
        <w:pStyle w:val="Heading1"/>
      </w:pPr>
      <w:r>
        <w:t>9. Classification</w:t>
      </w:r>
    </w:p>
    <w:p>
      <w:r>
        <w:t>PRELIMINARY STRUCTURAL CLASSIFICATION: A (Adequacy / Constraint Distinction), with supporting C (Containment) and multidimensional-preservation evidence.</w:t>
      </w:r>
    </w:p>
    <w:p>
      <w:r>
        <w:t>FINAL RWB-001 STATUS: OPEN. Publication-grade closeout remains gated on exact inspection or archival reproduction of the current benchmark implementation.</w:t>
      </w:r>
    </w:p>
    <w:p>
      <w:pPr>
        <w:pStyle w:val="Heading1"/>
      </w:pPr>
      <w:r>
        <w:t>10. Files Produced</w:t>
      </w:r>
    </w:p>
    <w:p>
      <w:pPr>
        <w:pStyle w:val="ListBullet"/>
      </w:pPr>
      <w:r>
        <w:t>rwb001_structural_test.py — controlled mechanism harness.</w:t>
      </w:r>
    </w:p>
    <w:p>
      <w:pPr>
        <w:pStyle w:val="ListBullet"/>
      </w:pPr>
      <w:r>
        <w:t>rwb001_structural_results.json — machine-readable test ledger.</w:t>
      </w:r>
    </w:p>
    <w:p>
      <w:pPr>
        <w:pStyle w:val="ListBullet"/>
      </w:pPr>
      <w:r>
        <w:t>RWB001_Controlled_Structural_Execution_v1.docx — this execution record.</w:t>
      </w:r>
    </w:p>
    <w:p>
      <w:pPr>
        <w:pStyle w:val="Heading1"/>
      </w:pPr>
      <w:r>
        <w:t>11. Sources</w:t>
      </w:r>
    </w:p>
    <w:p>
      <w:pPr>
        <w:pStyle w:val="ListBullet"/>
      </w:pPr>
      <w:r>
        <w:t>MOEAFramework/RealWorldBenchmarks public repository: LRGV listed as 8 variables, 5 objectives, 4 constraints.</w:t>
      </w:r>
    </w:p>
    <w:p>
      <w:pPr>
        <w:pStyle w:val="ListBullet"/>
      </w:pPr>
      <w:r>
        <w:t>Kasprzyk, J. R., Reed, P. M., Kirsch, B. R., &amp; Characklis, G. W. (2009), Managing population and drought risks using many-objective water portfolio planning under uncertainty, Water Resources Research 45.</w:t>
      </w:r>
    </w:p>
    <w:p>
      <w:pPr>
        <w:pStyle w:val="ListBullet"/>
      </w:pPr>
      <w:r>
        <w:t>Kasprzyk, J. R., Reed, P. M., Kirsch, B. R., &amp; Characklis, G. W. (2012), Many-Objective de Novo Water Supply Portfolio Planning Under Deep Uncertainty, Environmental Modelling &amp; Software 34:87-104.</w:t>
      </w:r>
    </w:p>
    <w:p>
      <w:pPr>
        <w:pStyle w:val="ListBullet"/>
      </w:pPr>
      <w:r>
        <w:t>Kasprzyk et al. (2015), Battling Arrow's Paradox to Discover Robust Water Management Alternatives, Journal of Water Resources Planning and Management. The published formulation reports reliability &gt;= .98, cost variability &lt;= 1.1, critical reliability &gt;= .99, and drought reliability = 1.00.</w:t>
      </w:r>
    </w:p>
    <w:p>
      <w:pPr>
        <w:pStyle w:val="ListBullet"/>
      </w:pPr>
      <w:r>
        <w:t>Characklis et al. (2006), Developing portfolios of water supply transfers, Water Resources Research 42.</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365F91" w:themeColor="accent1" w:themeShade="BF"/>
      <w:sz w:val="27"/>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17365D" w:themeColor="text2" w:themeShade="BF"/>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