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RWB-001 Implementation Lock and PV-PP Test Plan</w:t>
      </w:r>
    </w:p>
    <w:p>
      <w:pPr>
        <w:jc w:val="center"/>
      </w:pPr>
      <w:r>
        <w:rPr>
          <w:b/>
        </w:rPr>
        <w:t>Water Supply Portfolio Planning — Lower Rio Grande Valley</w:t>
        <w:br/>
        <w:t>PV-PP Real-World Benchmark Program | August 2026</w:t>
      </w:r>
    </w:p>
    <w:p>
      <w:pPr>
        <w:pStyle w:val="Heading1"/>
      </w:pPr>
      <w:r>
        <w:t>1. Purpose</w:t>
      </w:r>
    </w:p>
    <w:p>
      <w:r>
        <w:t>This document advances RWB-001 from source reconstruction to a frozen test plan. It records the benchmark definition that has been independently verified from the current RealWorldBenchmarks public repository and the 2024 diagnostic benchmarking paper, identifies the remaining source-lock limitation, and specifies how the Productive Value-Productive Power (PV-PP) architecture will be tested without altering the source problem.</w:t>
      </w:r>
    </w:p>
    <w:p>
      <w:pPr>
        <w:pStyle w:val="Heading1"/>
      </w:pPr>
      <w:r>
        <w:t>2. Current Implementation Lock</w:t>
      </w:r>
    </w:p>
    <w:p>
      <w:r>
        <w:t>The current public RealWorldBenchmarks repository identifies the Lower Rio Grande Valley problem as LRGV with 8 decision variables, 5 objectives, and 4 constraints. The repository describes the benchmark collection as real-world multi- and many-objective optimization problems intended for MOEA benchmarking.</w:t>
      </w:r>
    </w:p>
    <w:p>
      <w:r>
        <w:t>The 2024 Engineering Optimization study uses LRGV as one of four real-world diagnostic problems and describes the underlying application as a stochastic, severely constrained water-supply portfolio problem with a disjoint Pareto geometry. The study's narrative description refers to a six-objective research formulation. This is a source-version distinction, not a contradiction to be silently erased.</w:t>
      </w:r>
    </w:p>
    <w:p>
      <w:r>
        <w:t>The exact current LRGV.java implementation file could not be retrieved into the present execution container because direct network access to GitHub is unavailable. Therefore the exact formulas and bounds for the four current repository constraints are not claimed as locked here. RWB-001 execution will not pretend otherwise.</w:t>
      </w:r>
    </w:p>
    <w:p>
      <w:pPr>
        <w:pStyle w:val="Heading1"/>
      </w:pPr>
      <w:r>
        <w:t>3. Frozen Benchmark Facts for the Test</w:t>
      </w:r>
    </w:p>
    <w:p>
      <w:pPr>
        <w:pStyle w:val="ListBullet"/>
      </w:pPr>
      <w:r>
        <w:t>Benchmark identity: Lower Rio Grande Valley (LRGV) Water Supply Portfolio Planning.</w:t>
      </w:r>
    </w:p>
    <w:p>
      <w:pPr>
        <w:pStyle w:val="ListBullet"/>
      </w:pPr>
      <w:r>
        <w:t>Current repository shape: 8 decision variables, 5 objectives, 4 constraints.</w:t>
      </w:r>
    </w:p>
    <w:p>
      <w:pPr>
        <w:pStyle w:val="ListBullet"/>
      </w:pPr>
      <w:r>
        <w:t>Decision context: one city selects a portfolio of reservoir-based and market-based water sources.</w:t>
      </w:r>
    </w:p>
    <w:p>
      <w:pPr>
        <w:pStyle w:val="ListBullet"/>
      </w:pPr>
      <w:r>
        <w:t>Supply instruments: permanent rights, monthly/spot leases, and adaptive options contracts.</w:t>
      </w:r>
    </w:p>
    <w:p>
      <w:pPr>
        <w:pStyle w:val="ListBullet"/>
      </w:pPr>
      <w:r>
        <w:t>Uncertainty: stochastic demand, reservoir inflow, and market-price conditions are evaluated through Monte Carlo model assessments.</w:t>
      </w:r>
    </w:p>
    <w:p>
      <w:pPr>
        <w:pStyle w:val="ListBullet"/>
      </w:pPr>
      <w:r>
        <w:t>Planning horizon in the established LRGV formulation: 10 years.</w:t>
      </w:r>
    </w:p>
    <w:p>
      <w:pPr>
        <w:pStyle w:val="ListBullet"/>
      </w:pPr>
      <w:r>
        <w:t>Critical feasibility feature: catastrophic water-supply shortfall protection is treated as a constraint, not merely another compensable objective.</w:t>
      </w:r>
    </w:p>
    <w:p>
      <w:pPr>
        <w:pStyle w:val="ListBullet"/>
      </w:pPr>
      <w:r>
        <w:t>Search geometry: published diagnostic work reports severe feasibility difficulty and two distinct families of efficient solutions.</w:t>
      </w:r>
    </w:p>
    <w:p>
      <w:pPr>
        <w:pStyle w:val="Heading1"/>
      </w:pPr>
      <w:r>
        <w:t>4. Source-Version Rule</w:t>
      </w:r>
    </w:p>
    <w:p>
      <w:r>
        <w:t>RWB-001 will use the current repository's 5-objective/4-constraint implementation as benchmark authority when the exact implementation is available. Earlier six-objective formulations are provenance and domain context. They may explain the meaning of variables and performance measures, but they may not be substituted for the current executable benchmark merely because they are easier to interpret.</w:t>
      </w:r>
    </w:p>
    <w:p>
      <w:pPr>
        <w:pStyle w:val="Heading1"/>
      </w:pPr>
      <w:r>
        <w:t>5. PV-PP Translation Principle</w:t>
      </w:r>
    </w:p>
    <w:p>
      <w:r>
        <w:t>The benchmark objective vector will not be mapped one-for-one into PV-PP governing domains. Instead, Domain Framing must identify the functional role of each benchmark quantity. Some quantities may represent productive resources, some consequences, some costs, some feasibility conditions, and some evidence about future productive capacity.</w:t>
      </w:r>
    </w:p>
    <w:p>
      <w:pPr>
        <w:pStyle w:val="Heading1"/>
      </w:pPr>
      <w:r>
        <w:t>6. Provisional Functional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Source element</w:t>
            </w:r>
          </w:p>
        </w:tc>
        <w:tc>
          <w:tcPr>
            <w:tcW w:type="dxa" w:w="2520"/>
          </w:tcPr>
          <w:p>
            <w:r>
              <w:t>PV-PP role to test</w:t>
            </w:r>
          </w:p>
        </w:tc>
        <w:tc>
          <w:tcPr>
            <w:tcW w:type="dxa" w:w="2520"/>
          </w:tcPr>
          <w:p>
            <w:r>
              <w:t>Why</w:t>
            </w:r>
          </w:p>
        </w:tc>
        <w:tc>
          <w:tcPr>
            <w:tcW w:type="dxa" w:w="2520"/>
          </w:tcPr>
          <w:p>
            <w:r>
              <w:t>Status</w:t>
            </w:r>
          </w:p>
        </w:tc>
      </w:tr>
      <w:tr>
        <w:tc>
          <w:tcPr>
            <w:tcW w:type="dxa" w:w="2520"/>
          </w:tcPr>
          <w:p>
            <w:r>
              <w:t>Permanent water rights</w:t>
            </w:r>
          </w:p>
        </w:tc>
        <w:tc>
          <w:tcPr>
            <w:tcW w:type="dxa" w:w="2520"/>
          </w:tcPr>
          <w:p>
            <w:r>
              <w:t>Persistent PP / access capacity</w:t>
            </w:r>
          </w:p>
        </w:tc>
        <w:tc>
          <w:tcPr>
            <w:tcW w:type="dxa" w:w="2520"/>
          </w:tcPr>
          <w:p>
            <w:r>
              <w:t>They create durable capacity to satisfy future water demand.</w:t>
            </w:r>
          </w:p>
        </w:tc>
        <w:tc>
          <w:tcPr>
            <w:tcW w:type="dxa" w:w="2520"/>
          </w:tcPr>
          <w:p>
            <w:r>
              <w:t>Provisional</w:t>
            </w:r>
          </w:p>
        </w:tc>
      </w:tr>
      <w:tr>
        <w:tc>
          <w:tcPr>
            <w:tcW w:type="dxa" w:w="2520"/>
          </w:tcPr>
          <w:p>
            <w:r>
              <w:t>Options contracts</w:t>
            </w:r>
          </w:p>
        </w:tc>
        <w:tc>
          <w:tcPr>
            <w:tcW w:type="dxa" w:w="2520"/>
          </w:tcPr>
          <w:p>
            <w:r>
              <w:t>Contingent PP / encumbered access capacity</w:t>
            </w:r>
          </w:p>
        </w:tc>
        <w:tc>
          <w:tcPr>
            <w:tcW w:type="dxa" w:w="2520"/>
          </w:tcPr>
          <w:p>
            <w:r>
              <w:t>They purchase future access under specified conditions rather than immediate water.</w:t>
            </w:r>
          </w:p>
        </w:tc>
        <w:tc>
          <w:tcPr>
            <w:tcW w:type="dxa" w:w="2520"/>
          </w:tcPr>
          <w:p>
            <w:r>
              <w:t>Provisional</w:t>
            </w:r>
          </w:p>
        </w:tc>
      </w:tr>
      <w:tr>
        <w:tc>
          <w:tcPr>
            <w:tcW w:type="dxa" w:w="2520"/>
          </w:tcPr>
          <w:p>
            <w:r>
              <w:t>Spot leases</w:t>
            </w:r>
          </w:p>
        </w:tc>
        <w:tc>
          <w:tcPr>
            <w:tcW w:type="dxa" w:w="2520"/>
          </w:tcPr>
          <w:p>
            <w:r>
              <w:t>PV exchange / short-horizon acquisition action</w:t>
            </w:r>
          </w:p>
        </w:tc>
        <w:tc>
          <w:tcPr>
            <w:tcW w:type="dxa" w:w="2520"/>
          </w:tcPr>
          <w:p>
            <w:r>
              <w:t>They are transactional acquisitions used to restore or maintain water availability.</w:t>
            </w:r>
          </w:p>
        </w:tc>
        <w:tc>
          <w:tcPr>
            <w:tcW w:type="dxa" w:w="2520"/>
          </w:tcPr>
          <w:p>
            <w:r>
              <w:t>Provisional</w:t>
            </w:r>
          </w:p>
        </w:tc>
      </w:tr>
      <w:tr>
        <w:tc>
          <w:tcPr>
            <w:tcW w:type="dxa" w:w="2520"/>
          </w:tcPr>
          <w:p>
            <w:r>
              <w:t>Expected supply and demand information</w:t>
            </w:r>
          </w:p>
        </w:tc>
        <w:tc>
          <w:tcPr>
            <w:tcW w:type="dxa" w:w="2520"/>
          </w:tcPr>
          <w:p>
            <w:r>
              <w:t>Informational state / PPP-supporting evidence</w:t>
            </w:r>
          </w:p>
        </w:tc>
        <w:tc>
          <w:tcPr>
            <w:tcW w:type="dxa" w:w="2520"/>
          </w:tcPr>
          <w:p>
            <w:r>
              <w:t>Adaptive rules depend on forecasts and perceived future balance.</w:t>
            </w:r>
          </w:p>
        </w:tc>
        <w:tc>
          <w:tcPr>
            <w:tcW w:type="dxa" w:w="2520"/>
          </w:tcPr>
          <w:p>
            <w:r>
              <w:t>Provisional</w:t>
            </w:r>
          </w:p>
        </w:tc>
      </w:tr>
      <w:tr>
        <w:tc>
          <w:tcPr>
            <w:tcW w:type="dxa" w:w="2520"/>
          </w:tcPr>
          <w:p>
            <w:r>
              <w:t>Expected portfolio cost</w:t>
            </w:r>
          </w:p>
        </w:tc>
        <w:tc>
          <w:tcPr>
            <w:tcW w:type="dxa" w:w="2520"/>
          </w:tcPr>
          <w:p>
            <w:r>
              <w:t>Consequence / resource expenditure</w:t>
            </w:r>
          </w:p>
        </w:tc>
        <w:tc>
          <w:tcPr>
            <w:tcW w:type="dxa" w:w="2520"/>
          </w:tcPr>
          <w:p>
            <w:r>
              <w:t>Cost consumes fungible purchasing capacity and is not itself automatically a governing domain.</w:t>
            </w:r>
          </w:p>
        </w:tc>
        <w:tc>
          <w:tcPr>
            <w:tcW w:type="dxa" w:w="2520"/>
          </w:tcPr>
          <w:p>
            <w:r>
              <w:t>Provisional</w:t>
            </w:r>
          </w:p>
        </w:tc>
      </w:tr>
      <w:tr>
        <w:tc>
          <w:tcPr>
            <w:tcW w:type="dxa" w:w="2520"/>
          </w:tcPr>
          <w:p>
            <w:r>
              <w:t>Reliability</w:t>
            </w:r>
          </w:p>
        </w:tc>
        <w:tc>
          <w:tcPr>
            <w:tcW w:type="dxa" w:w="2520"/>
          </w:tcPr>
          <w:p>
            <w:r>
              <w:t>Adequacy evidence / projected service continuity</w:t>
            </w:r>
          </w:p>
        </w:tc>
        <w:tc>
          <w:tcPr>
            <w:tcW w:type="dxa" w:w="2520"/>
          </w:tcPr>
          <w:p>
            <w:r>
              <w:t>It measures whether the water system performs its central productive function.</w:t>
            </w:r>
          </w:p>
        </w:tc>
        <w:tc>
          <w:tcPr>
            <w:tcW w:type="dxa" w:w="2520"/>
          </w:tcPr>
          <w:p>
            <w:r>
              <w:t>Provisional</w:t>
            </w:r>
          </w:p>
        </w:tc>
      </w:tr>
      <w:tr>
        <w:tc>
          <w:tcPr>
            <w:tcW w:type="dxa" w:w="2520"/>
          </w:tcPr>
          <w:p>
            <w:r>
              <w:t>Surplus water</w:t>
            </w:r>
          </w:p>
        </w:tc>
        <w:tc>
          <w:tcPr>
            <w:tcW w:type="dxa" w:w="2520"/>
          </w:tcPr>
          <w:p>
            <w:r>
              <w:t>Consequence / excess committed capacity</w:t>
            </w:r>
          </w:p>
        </w:tc>
        <w:tc>
          <w:tcPr>
            <w:tcW w:type="dxa" w:w="2520"/>
          </w:tcPr>
          <w:p>
            <w:r>
              <w:t>Excess supply may imply inefficiency or over-acquisition rather than independent productive value.</w:t>
            </w:r>
          </w:p>
        </w:tc>
        <w:tc>
          <w:tcPr>
            <w:tcW w:type="dxa" w:w="2520"/>
          </w:tcPr>
          <w:p>
            <w:r>
              <w:t>Provisional</w:t>
            </w:r>
          </w:p>
        </w:tc>
      </w:tr>
      <w:tr>
        <w:tc>
          <w:tcPr>
            <w:tcW w:type="dxa" w:w="2520"/>
          </w:tcPr>
          <w:p>
            <w:r>
              <w:t>Unused transfers</w:t>
            </w:r>
          </w:p>
        </w:tc>
        <w:tc>
          <w:tcPr>
            <w:tcW w:type="dxa" w:w="2520"/>
          </w:tcPr>
          <w:p>
            <w:r>
              <w:t>Ineffective or wasted PV acquisition</w:t>
            </w:r>
          </w:p>
        </w:tc>
        <w:tc>
          <w:tcPr>
            <w:tcW w:type="dxa" w:w="2520"/>
          </w:tcPr>
          <w:p>
            <w:r>
              <w:t>Purchased water not used represents acquisition without corresponding productive realization.</w:t>
            </w:r>
          </w:p>
        </w:tc>
        <w:tc>
          <w:tcPr>
            <w:tcW w:type="dxa" w:w="2520"/>
          </w:tcPr>
          <w:p>
            <w:r>
              <w:t>Provisional</w:t>
            </w:r>
          </w:p>
        </w:tc>
      </w:tr>
      <w:tr>
        <w:tc>
          <w:tcPr>
            <w:tcW w:type="dxa" w:w="2520"/>
          </w:tcPr>
          <w:p>
            <w:r>
              <w:t>Lease count</w:t>
            </w:r>
          </w:p>
        </w:tc>
        <w:tc>
          <w:tcPr>
            <w:tcW w:type="dxa" w:w="2520"/>
          </w:tcPr>
          <w:p>
            <w:r>
              <w:t>Transaction burden / operational friction</w:t>
            </w:r>
          </w:p>
        </w:tc>
        <w:tc>
          <w:tcPr>
            <w:tcW w:type="dxa" w:w="2520"/>
          </w:tcPr>
          <w:p>
            <w:r>
              <w:t>Repeated leasing may consume attention, administrative effort, and transaction cost.</w:t>
            </w:r>
          </w:p>
        </w:tc>
        <w:tc>
          <w:tcPr>
            <w:tcW w:type="dxa" w:w="2520"/>
          </w:tcPr>
          <w:p>
            <w:r>
              <w:t>Provisional</w:t>
            </w:r>
          </w:p>
        </w:tc>
      </w:tr>
      <w:tr>
        <w:tc>
          <w:tcPr>
            <w:tcW w:type="dxa" w:w="2520"/>
          </w:tcPr>
          <w:p>
            <w:r>
              <w:t>Critical shortfall constraint</w:t>
            </w:r>
          </w:p>
        </w:tc>
        <w:tc>
          <w:tcPr>
            <w:tcW w:type="dxa" w:w="2520"/>
          </w:tcPr>
          <w:p>
            <w:r>
              <w:t>Hard adequacy / feasibility boundary</w:t>
            </w:r>
          </w:p>
        </w:tc>
        <w:tc>
          <w:tcPr>
            <w:tcW w:type="dxa" w:w="2520"/>
          </w:tcPr>
          <w:p>
            <w:r>
              <w:t>Catastrophic failure should not be traded away merely because other objectives improve.</w:t>
            </w:r>
          </w:p>
        </w:tc>
        <w:tc>
          <w:tcPr>
            <w:tcW w:type="dxa" w:w="2520"/>
          </w:tcPr>
          <w:p>
            <w:r>
              <w:t>Strong provisional</w:t>
            </w:r>
          </w:p>
        </w:tc>
      </w:tr>
    </w:tbl>
    <w:p>
      <w:r>
        <w:t>This table is deliberately provisional. It is a translation hypothesis to be tested against the exact source implementation. No entry becomes canonical PV-PP doctrine merely because it is useful in RWB-001.</w:t>
      </w:r>
    </w:p>
    <w:p>
      <w:pPr>
        <w:pStyle w:val="Heading1"/>
      </w:pPr>
      <w:r>
        <w:t>7. Core Test Questions</w:t>
      </w:r>
    </w:p>
    <w:p>
      <w:pPr>
        <w:pStyle w:val="ListNumber"/>
      </w:pPr>
      <w:r>
        <w:t>Can PV-PP represent the same eight-dimensional policy/portfolio choice without collapsing the source decision space?</w:t>
      </w:r>
    </w:p>
    <w:p>
      <w:pPr>
        <w:pStyle w:val="ListNumber"/>
      </w:pPr>
      <w:r>
        <w:t>Can PV-PP preserve the distinction between persistent capacity (rights/options) and immediate transactional acquisition (leases)?</w:t>
      </w:r>
    </w:p>
    <w:p>
      <w:pPr>
        <w:pStyle w:val="ListNumber"/>
      </w:pPr>
      <w:r>
        <w:t>Can the architecture treat catastrophic shortfall as an adequacy/feasibility boundary while still ranking feasible portfolios on cost and other consequences?</w:t>
      </w:r>
    </w:p>
    <w:p>
      <w:pPr>
        <w:pStyle w:val="ListNumber"/>
      </w:pPr>
      <w:r>
        <w:t>Can uncertainty and forecast-dependent adaptive rules be represented through projected consequences and informational/perceived state without inventing a new operator?</w:t>
      </w:r>
    </w:p>
    <w:p>
      <w:pPr>
        <w:pStyle w:val="ListNumber"/>
      </w:pPr>
      <w:r>
        <w:t>Can PV-PP preserve multiple efficient solution families rather than forcing all portfolios onto one compensatory scalar ranking before adequacy is determined?</w:t>
      </w:r>
    </w:p>
    <w:p>
      <w:pPr>
        <w:pStyle w:val="ListNumber"/>
      </w:pPr>
      <w:r>
        <w:t>Where a scalar representation is demonstrably sufficient within a restricted feasible region, does PV-PP permit that reduction rather than rejecting it categorically?</w:t>
      </w:r>
    </w:p>
    <w:p>
      <w:pPr>
        <w:pStyle w:val="ListNumber"/>
      </w:pPr>
      <w:r>
        <w:t>If no fully adequate portfolio exists under a selected condition set, can the architecture represent fallback without relabeling the fallback solution adequate?</w:t>
      </w:r>
    </w:p>
    <w:p>
      <w:pPr>
        <w:pStyle w:val="Heading1"/>
      </w:pPr>
      <w:r>
        <w:t>8. Planned Controlled Tests</w:t>
      </w:r>
    </w:p>
    <w:p>
      <w:pPr>
        <w:pStyle w:val="Heading2"/>
      </w:pPr>
      <w:r>
        <w:t>T1 — Representation Fidelity</w:t>
      </w:r>
    </w:p>
    <w:p>
      <w:r>
        <w:t>Construct PV-PP state, policy, consequence, and constraint objects directly from the source variables and outputs. PASS if every benchmark decision variable and every benchmark-authoritative objective/constraint has an explicit traceable representation without changing its meaning.</w:t>
      </w:r>
    </w:p>
    <w:p>
      <w:pPr>
        <w:pStyle w:val="Heading2"/>
      </w:pPr>
      <w:r>
        <w:t>T2 — Constraint Before Preference</w:t>
      </w:r>
    </w:p>
    <w:p>
      <w:r>
        <w:t>Create at least one controlled comparison in which a portfolio scores better on compensable objectives but violates a catastrophic-shortfall constraint. PASS if Adequacy/Constraints exclude or flag it before ordinary preference ranking.</w:t>
      </w:r>
    </w:p>
    <w:p>
      <w:pPr>
        <w:pStyle w:val="Heading2"/>
      </w:pPr>
      <w:r>
        <w:t>T3 — Persistent Capacity Versus Transaction</w:t>
      </w:r>
    </w:p>
    <w:p>
      <w:r>
        <w:t>Compare portfolios with similar delivered-water outcomes but different mixes of permanent rights, options, and leases. PASS if the representation preserves the distinction between stored/contingent productive capacity and realized exchange rather than treating all water access as one undifferentiated scalar.</w:t>
      </w:r>
    </w:p>
    <w:p>
      <w:pPr>
        <w:pStyle w:val="Heading2"/>
      </w:pPr>
      <w:r>
        <w:t>T4 — Uncertainty and Information</w:t>
      </w:r>
    </w:p>
    <w:p>
      <w:r>
        <w:t>Represent forecast-conditioned acquisition rules using projected consequence distributions or bounded scenario summaries. PASS if the architecture can distinguish actual resource state from uncertain/perceived future state and update policy evaluation without modifying Layer-1 actual state prematurely.</w:t>
      </w:r>
    </w:p>
    <w:p>
      <w:pPr>
        <w:pStyle w:val="Heading2"/>
      </w:pPr>
      <w:r>
        <w:t>T5 — Disjoint Efficient Families</w:t>
      </w:r>
    </w:p>
    <w:p>
      <w:r>
        <w:t>Use a source-derived or published approximation set containing both reservoir-heavy and market-heavy efficient solution families. PASS if PV-PP can retain both as admissible candidates when both satisfy governing adequacy conditions, rather than requiring one fixed scalar to erase the structural distinction.</w:t>
      </w:r>
    </w:p>
    <w:p>
      <w:pPr>
        <w:pStyle w:val="Heading2"/>
      </w:pPr>
      <w:r>
        <w:t>T6 — Scalar Containment Probe</w:t>
      </w:r>
    </w:p>
    <w:p>
      <w:r>
        <w:t>Within a restricted region where a stable scalar map can reproduce the same ordering, test whether the scalar representation is accepted as a valid reduction. PASS if PV-PP contains the scalar case instead of demanding unnecessary multidimensional retention.</w:t>
      </w:r>
    </w:p>
    <w:p>
      <w:pPr>
        <w:pStyle w:val="Heading2"/>
      </w:pPr>
      <w:r>
        <w:t>T7 — Fallback Probe</w:t>
      </w:r>
    </w:p>
    <w:p>
      <w:r>
        <w:t>Construct or identify a condition set with no fully adequate portfolio. PASS if the architecture reports infeasibility/fallback and selects a bounded fallback only under explicit fallback semantics.</w:t>
      </w:r>
    </w:p>
    <w:p>
      <w:pPr>
        <w:pStyle w:val="Heading1"/>
      </w:pPr>
      <w:r>
        <w:t>9. Failure Taxonomy</w:t>
      </w:r>
    </w:p>
    <w:p>
      <w:r>
        <w:rPr>
          <w:b/>
        </w:rPr>
        <w:t xml:space="preserve">Fixture/translation error: </w:t>
      </w:r>
      <w:r>
        <w:t>The PV-PP adapter incorrectly represents the source benchmark.</w:t>
      </w:r>
    </w:p>
    <w:p>
      <w:r>
        <w:rPr>
          <w:b/>
        </w:rPr>
        <w:t xml:space="preserve">Search failure: </w:t>
      </w:r>
      <w:r>
        <w:t>The procedure fails to locate a source-feasible or efficient portfolio even though the representation is valid.</w:t>
      </w:r>
    </w:p>
    <w:p>
      <w:r>
        <w:rPr>
          <w:b/>
        </w:rPr>
        <w:t xml:space="preserve">Policy failure: </w:t>
      </w:r>
      <w:r>
        <w:t>A represented candidate performs poorly or violates requirements.</w:t>
      </w:r>
    </w:p>
    <w:p>
      <w:r>
        <w:rPr>
          <w:b/>
        </w:rPr>
        <w:t xml:space="preserve">Scalar-reduction failure: </w:t>
      </w:r>
      <w:r>
        <w:t>A tested scalar map loses decision-relevant structure while the multidimensional representation remains adequate.</w:t>
      </w:r>
    </w:p>
    <w:p>
      <w:r>
        <w:rPr>
          <w:b/>
        </w:rPr>
        <w:t xml:space="preserve">Formalization gap: </w:t>
      </w:r>
      <w:r>
        <w:t>The architecture appears capable in principle but the current canonical specification lacks sufficient explicit formal semantics.</w:t>
      </w:r>
    </w:p>
    <w:p>
      <w:r>
        <w:rPr>
          <w:b/>
        </w:rPr>
        <w:t xml:space="preserve">Architecture failure: </w:t>
      </w:r>
      <w:r>
        <w:t>The frozen architecture cannot represent a benchmark-required distinction without materially changing the original problem.</w:t>
      </w:r>
    </w:p>
    <w:p>
      <w:pPr>
        <w:pStyle w:val="Heading1"/>
      </w:pPr>
      <w:r>
        <w:t>10. Execution Gate</w:t>
      </w:r>
    </w:p>
    <w:p>
      <w:r>
        <w:t>RWB-001 is NOT yet authorized for a publication-grade final PASS/FAIL classification. The exact current LRGV implementation must first be obtained or independently reproduced from an authoritative archived source so that the five objective formulas, four constraints, variable bounds, and output conventions can be verified. Until that gate is satisfied, controlled PV-PP mechanism tests may be designed, but the benchmark must remain explicitly qualified as source-locked only at the repository-metadata and literature level.</w:t>
      </w:r>
    </w:p>
    <w:p>
      <w:pPr>
        <w:pStyle w:val="Heading1"/>
      </w:pPr>
      <w:r>
        <w:t>11. Sources</w:t>
      </w:r>
    </w:p>
    <w:p>
      <w:pPr>
        <w:pStyle w:val="ListBullet"/>
      </w:pPr>
      <w:r>
        <w:t>MOEAFramework/RealWorldBenchmarks public repository. Current README identifies LRGV as 8 variables, 5 objectives, and 4 constraints.</w:t>
      </w:r>
    </w:p>
    <w:p>
      <w:pPr>
        <w:pStyle w:val="ListBullet"/>
      </w:pPr>
      <w:r>
        <w:t>Zatarain Salazar, J., Hadka, D., Reed, P., Seada, H., &amp; Deb, K. (2024). Diagnostic benchmarking of many-objective evolutionary algorithms for real-world problems. Engineering Optimization, 57(2), 287-308. DOI: 10.1080/0305215X.2024.2381818.</w:t>
      </w:r>
    </w:p>
    <w:p>
      <w:pPr>
        <w:pStyle w:val="ListBullet"/>
      </w:pPr>
      <w:r>
        <w:t>Hadka, D. (2023). MOEAFramework/RealWorldBenchmarks: Engineering Optimization Study. Zenodo DOI: 10.5281/zenodo.10408473. Archived software snapshot used by the 2024 study.</w:t>
      </w:r>
    </w:p>
    <w:p>
      <w:pPr>
        <w:pStyle w:val="ListBullet"/>
      </w:pPr>
      <w:r>
        <w:t>Kasprzyk, J. R., Reed, P. M., Kirsch, B. R., &amp; Characklis, G. W. (2012). Many-Objective de Novo Water Supply Portfolio Planning Under Deep Uncertainty. Environmental Modelling &amp; Software, 34, 87-104.</w:t>
      </w:r>
    </w:p>
    <w:p>
      <w:pPr>
        <w:pStyle w:val="Heading1"/>
      </w:pPr>
      <w:r>
        <w:t>12. Status</w:t>
      </w:r>
    </w:p>
    <w:p>
      <w:r>
        <w:t>RWB-001 SOURCE/IMPLEMENTATION LOCK: PARTIAL — repository shape and literature confirmed; exact current code formulas pending.</w:t>
      </w:r>
    </w:p>
    <w:p>
      <w:r>
        <w:t>RWB-001 PV-PP TEST PLAN: FROZEN.</w:t>
      </w:r>
    </w:p>
    <w:p>
      <w:r>
        <w:t>CANONICAL PV-PP ARCHITECTURE: UNCHANGED.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