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RWB-001 Native Execution and Closeout</w:t>
      </w:r>
    </w:p>
    <w:p>
      <w:pPr>
        <w:jc w:val="center"/>
      </w:pPr>
      <w:r>
        <w:rPr>
          <w:b/>
        </w:rPr>
        <w:t>Lower Rio Grande Valley Water Supply Portfolio Planning</w:t>
        <w:br/>
        <w:t>PV-PP Real-World Benchmark Program | August 2026</w:t>
      </w:r>
    </w:p>
    <w:p>
      <w:pPr>
        <w:pStyle w:val="Heading1"/>
      </w:pPr>
      <w:r>
        <w:t>1. Executive Result</w:t>
      </w:r>
    </w:p>
    <w:p>
      <w:r>
        <w:t>RWB-001 is CLOSED as a source-locked real-world benchmark with one benchmark-implementation defect recorded. The complete RealWorldBenchmarks repository was obtained, frozen to Git commit a4cc6312326df91dc92205b1aeac5721f83e1d36, compiled successfully, and executed natively. The frozen PV-PP architecture represented the externally defined decision structure without requiring a new canonical operator or state primitive.</w:t>
      </w:r>
    </w:p>
    <w:p>
      <w:r>
        <w:t>Primary classification: A — Adequacy / Constraint Distinction. Supporting classifications: P — Multidimensional Preservation and C — Scalar Containment. No X — Architecture Failure was observed.</w:t>
      </w:r>
    </w:p>
    <w:p>
      <w:pPr>
        <w:pStyle w:val="Heading1"/>
      </w:pPr>
      <w:r>
        <w:t>2. Source-Lock Correction</w:t>
      </w:r>
    </w:p>
    <w:p>
      <w:r>
        <w:t>The earlier provisional description of LRGV as a five-objective problem is superseded. The actual Java source in the supplied repository defines 8 decision variables, 6 objectives, and 4 constraints. This document is authoritative for the RWB-001 benchmark record.</w:t>
      </w:r>
    </w:p>
    <w:tbl>
      <w:tblPr>
        <w:tblStyle w:val="TableGrid"/>
        <w:tblW w:type="auto" w:w="0"/>
        <w:tblLook w:firstColumn="1" w:firstRow="1" w:lastColumn="0" w:lastRow="0" w:noHBand="0" w:noVBand="1" w:val="04A0"/>
      </w:tblPr>
      <w:tblGrid>
        <w:gridCol w:w="3360"/>
        <w:gridCol w:w="3360"/>
        <w:gridCol w:w="3360"/>
      </w:tblGrid>
      <w:tr>
        <w:tc>
          <w:tcPr>
            <w:tcW w:type="dxa" w:w="3360"/>
          </w:tcPr>
          <w:p>
            <w:r>
              <w:t>Type</w:t>
            </w:r>
          </w:p>
        </w:tc>
        <w:tc>
          <w:tcPr>
            <w:tcW w:type="dxa" w:w="3360"/>
          </w:tcPr>
          <w:p>
            <w:r>
              <w:t>Current source definition</w:t>
            </w:r>
          </w:p>
        </w:tc>
        <w:tc>
          <w:tcPr>
            <w:tcW w:type="dxa" w:w="3360"/>
          </w:tcPr>
          <w:p>
            <w:r>
              <w:t>Direction / threshold</w:t>
            </w:r>
          </w:p>
        </w:tc>
      </w:tr>
      <w:tr>
        <w:tc>
          <w:tcPr>
            <w:tcW w:type="dxa" w:w="3360"/>
          </w:tcPr>
          <w:p>
            <w:r>
              <w:t>Objective 1</w:t>
            </w:r>
          </w:p>
        </w:tc>
        <w:tc>
          <w:tcPr>
            <w:tcW w:type="dxa" w:w="3360"/>
          </w:tcPr>
          <w:p>
            <w:r>
              <w:t>cost</w:t>
            </w:r>
          </w:p>
        </w:tc>
        <w:tc>
          <w:tcPr>
            <w:tcW w:type="dxa" w:w="3360"/>
          </w:tcPr>
          <w:p>
            <w:r>
              <w:t>minimize</w:t>
            </w:r>
          </w:p>
        </w:tc>
      </w:tr>
      <w:tr>
        <w:tc>
          <w:tcPr>
            <w:tcW w:type="dxa" w:w="3360"/>
          </w:tcPr>
          <w:p>
            <w:r>
              <w:t>Objective 2</w:t>
            </w:r>
          </w:p>
        </w:tc>
        <w:tc>
          <w:tcPr>
            <w:tcW w:type="dxa" w:w="3360"/>
          </w:tcPr>
          <w:p>
            <w:r>
              <w:t>critrel</w:t>
            </w:r>
          </w:p>
        </w:tc>
        <w:tc>
          <w:tcPr>
            <w:tcW w:type="dxa" w:w="3360"/>
          </w:tcPr>
          <w:p>
            <w:r>
              <w:t>maximize</w:t>
            </w:r>
          </w:p>
        </w:tc>
      </w:tr>
      <w:tr>
        <w:tc>
          <w:tcPr>
            <w:tcW w:type="dxa" w:w="3360"/>
          </w:tcPr>
          <w:p>
            <w:r>
              <w:t>Objective 3</w:t>
            </w:r>
          </w:p>
        </w:tc>
        <w:tc>
          <w:tcPr>
            <w:tcW w:type="dxa" w:w="3360"/>
          </w:tcPr>
          <w:p>
            <w:r>
              <w:t>surplus</w:t>
            </w:r>
          </w:p>
        </w:tc>
        <w:tc>
          <w:tcPr>
            <w:tcW w:type="dxa" w:w="3360"/>
          </w:tcPr>
          <w:p>
            <w:r>
              <w:t>minimize</w:t>
            </w:r>
          </w:p>
        </w:tc>
      </w:tr>
      <w:tr>
        <w:tc>
          <w:tcPr>
            <w:tcW w:type="dxa" w:w="3360"/>
          </w:tcPr>
          <w:p>
            <w:r>
              <w:t>Objective 4</w:t>
            </w:r>
          </w:p>
        </w:tc>
        <w:tc>
          <w:tcPr>
            <w:tcW w:type="dxa" w:w="3360"/>
          </w:tcPr>
          <w:p>
            <w:r>
              <w:t>drop</w:t>
            </w:r>
          </w:p>
        </w:tc>
        <w:tc>
          <w:tcPr>
            <w:tcW w:type="dxa" w:w="3360"/>
          </w:tcPr>
          <w:p>
            <w:r>
              <w:t>minimize</w:t>
            </w:r>
          </w:p>
        </w:tc>
      </w:tr>
      <w:tr>
        <w:tc>
          <w:tcPr>
            <w:tcW w:type="dxa" w:w="3360"/>
          </w:tcPr>
          <w:p>
            <w:r>
              <w:t>Objective 5</w:t>
            </w:r>
          </w:p>
        </w:tc>
        <w:tc>
          <w:tcPr>
            <w:tcW w:type="dxa" w:w="3360"/>
          </w:tcPr>
          <w:p>
            <w:r>
              <w:t>numleases</w:t>
            </w:r>
          </w:p>
        </w:tc>
        <w:tc>
          <w:tcPr>
            <w:tcW w:type="dxa" w:w="3360"/>
          </w:tcPr>
          <w:p>
            <w:r>
              <w:t>minimize</w:t>
            </w:r>
          </w:p>
        </w:tc>
      </w:tr>
      <w:tr>
        <w:tc>
          <w:tcPr>
            <w:tcW w:type="dxa" w:w="3360"/>
          </w:tcPr>
          <w:p>
            <w:r>
              <w:t>Objective 6</w:t>
            </w:r>
          </w:p>
        </w:tc>
        <w:tc>
          <w:tcPr>
            <w:tcW w:type="dxa" w:w="3360"/>
          </w:tcPr>
          <w:p>
            <w:r>
              <w:t>drtranscost</w:t>
            </w:r>
          </w:p>
        </w:tc>
        <w:tc>
          <w:tcPr>
            <w:tcW w:type="dxa" w:w="3360"/>
          </w:tcPr>
          <w:p>
            <w:r>
              <w:t>minimize</w:t>
            </w:r>
          </w:p>
        </w:tc>
      </w:tr>
      <w:tr>
        <w:tc>
          <w:tcPr>
            <w:tcW w:type="dxa" w:w="3360"/>
          </w:tcPr>
          <w:p>
            <w:r>
              <w:t>Constraint 1</w:t>
            </w:r>
          </w:p>
        </w:tc>
        <w:tc>
          <w:tcPr>
            <w:tcW w:type="dxa" w:w="3360"/>
          </w:tcPr>
          <w:p>
            <w:r>
              <w:t>rel</w:t>
            </w:r>
          </w:p>
        </w:tc>
        <w:tc>
          <w:tcPr>
            <w:tcW w:type="dxa" w:w="3360"/>
          </w:tcPr>
          <w:p>
            <w:r>
              <w:t>&gt;= 0.98</w:t>
            </w:r>
          </w:p>
        </w:tc>
      </w:tr>
      <w:tr>
        <w:tc>
          <w:tcPr>
            <w:tcW w:type="dxa" w:w="3360"/>
          </w:tcPr>
          <w:p>
            <w:r>
              <w:t>Constraint 2</w:t>
            </w:r>
          </w:p>
        </w:tc>
        <w:tc>
          <w:tcPr>
            <w:tcW w:type="dxa" w:w="3360"/>
          </w:tcPr>
          <w:p>
            <w:r>
              <w:t>critrel</w:t>
            </w:r>
          </w:p>
        </w:tc>
        <w:tc>
          <w:tcPr>
            <w:tcW w:type="dxa" w:w="3360"/>
          </w:tcPr>
          <w:p>
            <w:r>
              <w:t>&gt;= 0.99</w:t>
            </w:r>
          </w:p>
        </w:tc>
      </w:tr>
      <w:tr>
        <w:tc>
          <w:tcPr>
            <w:tcW w:type="dxa" w:w="3360"/>
          </w:tcPr>
          <w:p>
            <w:r>
              <w:t>Constraint 3</w:t>
            </w:r>
          </w:p>
        </w:tc>
        <w:tc>
          <w:tcPr>
            <w:tcW w:type="dxa" w:w="3360"/>
          </w:tcPr>
          <w:p>
            <w:r>
              <w:t>cvar</w:t>
            </w:r>
          </w:p>
        </w:tc>
        <w:tc>
          <w:tcPr>
            <w:tcW w:type="dxa" w:w="3360"/>
          </w:tcPr>
          <w:p>
            <w:r>
              <w:t>&lt;= 1.10</w:t>
            </w:r>
          </w:p>
        </w:tc>
      </w:tr>
      <w:tr>
        <w:tc>
          <w:tcPr>
            <w:tcW w:type="dxa" w:w="3360"/>
          </w:tcPr>
          <w:p>
            <w:r>
              <w:t>Constraint 4</w:t>
            </w:r>
          </w:p>
        </w:tc>
        <w:tc>
          <w:tcPr>
            <w:tcW w:type="dxa" w:w="3360"/>
          </w:tcPr>
          <w:p>
            <w:r>
              <w:t>drvuln</w:t>
            </w:r>
          </w:p>
        </w:tc>
        <w:tc>
          <w:tcPr>
            <w:tcW w:type="dxa" w:w="3360"/>
          </w:tcPr>
          <w:p>
            <w:r>
              <w:t>== 0.0</w:t>
            </w:r>
          </w:p>
        </w:tc>
      </w:tr>
    </w:tbl>
    <w:p>
      <w:r>
        <w:t>The control file further fixes 5,000 Monte Carlo simulations, a 10-year planning horizon, a critical reliability threshold of 0.60 of demand, a 2.3% demand-growth factor, maximum permanent rights of 60,000, and maximum options of 20,000.</w:t>
      </w:r>
    </w:p>
    <w:p>
      <w:pPr>
        <w:pStyle w:val="Heading1"/>
      </w:pPr>
      <w:r>
        <w:t>3. Exact Decision Representation</w:t>
      </w:r>
    </w:p>
    <w:p>
      <w:r>
        <w:t>The Java wrapper supplies eight real-valued decision variables. Native source transforms the first variable to permanent rights between 30,000 and 60,000, transforms the second to low-option volume between 0 and 20,000, derives high-option volume from the low-option volume and the discretized third variable, discretizes xi to 0.10–0.40, and uses four alpha/beta parameters for adaptive option and lease acquisition rules. The Java wrapper also enforces the alpha/beta sum ceiling of 3.0.</w:t>
      </w:r>
    </w:p>
    <w:p>
      <w:pPr>
        <w:pStyle w:val="Heading1"/>
      </w:pPr>
      <w:r>
        <w:t>4. Native Build and Execution</w:t>
      </w:r>
    </w:p>
    <w:p>
      <w:r>
        <w:t>The native C/C++ implementation compiled successfully with g++ using the repository Makefile. Compilation produced one pre-existing warning in lrgv_roulette.cpp: control may reach the end of a non-void function. No source edits were made to obtain the executable.</w:t>
      </w:r>
    </w:p>
    <w:p>
      <w:r>
        <w:t>A frozen sample of 250 decision vectors was generated with seed 20260830, transformed according to the Java wrapper's discretization rules, and evaluated through the native std-io interface. The exact registered Java-wrapper path and the native source-intended combined path were both exercised on the same 250 candidates.</w:t>
      </w:r>
    </w:p>
    <w:p>
      <w:pPr>
        <w:pStyle w:val="Heading1"/>
      </w:pPr>
      <w:r>
        <w:t>5. Benchmark Implementation Defect Found</w:t>
      </w:r>
    </w:p>
    <w:p>
      <w:r>
        <w:t>The current Java wrapper launches the native executable with calculation mode `ten-year`, while the same wrapper declares `drtranscost` as objective 6 and `drvuln` as constraint 4. Native source comments state that drought variables require the `combined` mode, which executes the ten-year simulation and then the drought calculation. In ten-year-only mode, the drought objective and drought-vulnerability constraint are not properly populated by the intended drought calculation.</w:t>
      </w:r>
    </w:p>
    <w:p>
      <w:r>
        <w:t>On the frozen 250-candidate sample, switching from the registered ten-year path to the native combined path changed the drought-transfer-cost objective for 175 candidates and changed the drought-vulnerability constraint for 40 candidates. The registered ten-year path classified 62 candidates as feasible; the combined path classified 60 as feasible. Two candidates were therefore false-feasible under the wrapper path because the drought-vulnerability calculation was omitted.</w:t>
      </w:r>
    </w:p>
    <w:p>
      <w:r>
        <w:t>This is classified as a benchmark implementation defect, not a PV-PP failure. RWB-001 preserves both results: the exact registered path is the public implementation as written; the combined path is the source-consistent full calculation needed to evaluate all six declared objectives and four declared constraints.</w:t>
      </w:r>
    </w:p>
    <w:p>
      <w:pPr>
        <w:pStyle w:val="Heading1"/>
      </w:pPr>
      <w:r>
        <w:t>6. Native Evidence</w:t>
      </w:r>
    </w:p>
    <w:p>
      <w:r>
        <w:t>Using the source-consistent combined path, 60 of 250 sampled candidates satisfied all four constraints. Among those feasible candidates, 39 were nondominated within the sampled six-objective set. This is a sample-level Pareto result, not a claim to have reconstructed the benchmark's global Pareto frontier.</w:t>
      </w:r>
    </w:p>
    <w:p>
      <w:pPr>
        <w:pStyle w:val="Heading1"/>
      </w:pPr>
      <w:r>
        <w:t>7. Constraint-Before-Preference Test</w:t>
      </w:r>
    </w:p>
    <w:p>
      <w:r>
        <w:t>A native candidate with transformed permanent rights of 32,900 had normalized cost 0.081164, substantially lower than the cheapest feasible sampled candidate's cost of 0.115361. The cheaper candidate nevertheless violated reliability, critical reliability, and drought vulnerability constraints. Under PV-PP it must therefore remain inadequate before ordinary compensatory ranking. The source benchmark itself supplies this separation.</w:t>
      </w:r>
    </w:p>
    <w:p>
      <w:pPr>
        <w:pStyle w:val="Heading1"/>
      </w:pPr>
      <w:r>
        <w:t>8. Persistent Capacity Versus Transactional Acquisition</w:t>
      </w:r>
    </w:p>
    <w:p>
      <w:r>
        <w:t>The source code preserves distinct decision mechanisms for permanent rights, options, and leases. This maps cleanly to a PV-PP distinction between persistent or contingent productive capacity and transactional PV acquisition. The benchmark did not require those mechanisms to be collapsed into a single water-value scalar.</w:t>
      </w:r>
    </w:p>
    <w:p>
      <w:pPr>
        <w:pStyle w:val="Heading1"/>
      </w:pPr>
      <w:r>
        <w:t>9. Multidimensional Preservation</w:t>
      </w:r>
    </w:p>
    <w:p>
      <w:r>
        <w:t>The combined native sample retained many nondominated feasible candidates across the six declared objectives. PV-PP can preserve those candidates as distinct projected consequence structures after adequacy screening. Nothing in the architecture requires a global weighted sum to be imposed before constraint satisfaction is established.</w:t>
      </w:r>
    </w:p>
    <w:p>
      <w:pPr>
        <w:pStyle w:val="Heading1"/>
      </w:pPr>
      <w:r>
        <w:t>10. Scalar Containment</w:t>
      </w:r>
    </w:p>
    <w:p>
      <w:r>
        <w:t>The benchmark does not imply that scalar rankings are always invalid. Once a restricted candidate set is known to satisfy the governing constraints and a stable scalar mapping is explicitly chosen for a particular decision purpose, PV-PP can use that reduction. RWB-001 therefore supports the existing conditional-containment position rather than a vectors-versus-scalars dichotomy.</w:t>
      </w:r>
    </w:p>
    <w:p>
      <w:pPr>
        <w:pStyle w:val="Heading1"/>
      </w:pPr>
      <w:r>
        <w:t>11. Fallback / Infeasibility</w:t>
      </w:r>
    </w:p>
    <w:p>
      <w:r>
        <w:t>The architecture also preserves the distinction between selecting a least-bad fallback and declaring that fallback adequate. A candidate with the smallest violation under a restricted infeasible candidate set may be chosen under explicit fallback semantics, but its failed benchmark constraints remain failed.</w:t>
      </w:r>
    </w:p>
    <w:p>
      <w:pPr>
        <w:pStyle w:val="Heading1"/>
      </w:pPr>
      <w:r>
        <w:t>12. Seven-Test Disposition</w:t>
      </w:r>
    </w:p>
    <w:p>
      <w:r>
        <w:rPr>
          <w:b/>
        </w:rPr>
        <w:t xml:space="preserve">T1 — Representation fidelity: PASS. </w:t>
      </w:r>
      <w:r>
        <w:t>All 8 decision variables, 6 objectives, and 4 constraints are source-locked and explicitly represented.</w:t>
      </w:r>
    </w:p>
    <w:p>
      <w:r>
        <w:rPr>
          <w:b/>
        </w:rPr>
        <w:t xml:space="preserve">T2 — Constraint before preference: PASS. </w:t>
      </w:r>
      <w:r>
        <w:t>Native lower-cost candidates can be rejected as inadequate because externally defined constraints fail.</w:t>
      </w:r>
    </w:p>
    <w:p>
      <w:r>
        <w:rPr>
          <w:b/>
        </w:rPr>
        <w:t xml:space="preserve">T3 — Persistent capacity versus transaction: PASS. </w:t>
      </w:r>
      <w:r>
        <w:t>Rights, options, and leases remain distinct mechanisms in the source and PV-PP representation.</w:t>
      </w:r>
    </w:p>
    <w:p>
      <w:r>
        <w:rPr>
          <w:b/>
        </w:rPr>
        <w:t xml:space="preserve">T4 — Uncertainty and information: PASS. </w:t>
      </w:r>
      <w:r>
        <w:t>The native model evaluates candidate policies across a 5,000-member Monte Carlo ensemble over 10 years.</w:t>
      </w:r>
    </w:p>
    <w:p>
      <w:r>
        <w:rPr>
          <w:b/>
        </w:rPr>
        <w:t xml:space="preserve">T5 — Multidimensional preservation: PASS. </w:t>
      </w:r>
      <w:r>
        <w:t>The combined sample contains 39 sample-nondominated feasible candidates; no premature scalar collapse is required.</w:t>
      </w:r>
    </w:p>
    <w:p>
      <w:r>
        <w:rPr>
          <w:b/>
        </w:rPr>
        <w:t xml:space="preserve">T6 — Scalar containment: PASS. </w:t>
      </w:r>
      <w:r>
        <w:t>Scalar reduction remains permitted on restricted feasible sets when the reduction is explicitly adequate.</w:t>
      </w:r>
    </w:p>
    <w:p>
      <w:r>
        <w:rPr>
          <w:b/>
        </w:rPr>
        <w:t xml:space="preserve">T7 — Fallback without false adequacy: PASS. </w:t>
      </w:r>
      <w:r>
        <w:t>PV-PP can rank inadequate fallbacks while preserving their failed constraint status.</w:t>
      </w:r>
    </w:p>
    <w:p>
      <w:pPr>
        <w:pStyle w:val="Heading1"/>
      </w:pPr>
      <w:r>
        <w:t>13. Architectural Result</w:t>
      </w:r>
    </w:p>
    <w:p>
      <w:r>
        <w:t>RWB-001 did not expose a missing canonical PV-PP operator or state primitive. Existing framework capabilities are sufficient for the tested structure: persistent PP, contingent access capacity, PV exchange, informational/perceived state, projected multidimensional consequences, constraints, adequacy, selection, and explicit fallback.</w:t>
      </w:r>
    </w:p>
    <w:p>
      <w:r>
        <w:t>The strongest result is not that PV-PP found a globally optimal water portfolio. It did not attempt to replace the MOEA search algorithm. The result is that the frozen decision architecture could represent and correctly preserve the externally defined distinctions that determine whether a water-supply portfolio is acceptable and how acceptable portfolios may then be compared.</w:t>
      </w:r>
    </w:p>
    <w:p>
      <w:pPr>
        <w:pStyle w:val="Heading1"/>
      </w:pPr>
      <w:r>
        <w:t>14. Limits</w:t>
      </w:r>
    </w:p>
    <w:p>
      <w:pPr>
        <w:pStyle w:val="ListBullet"/>
      </w:pPr>
      <w:r>
        <w:t>The 250-candidate evaluation is a controlled native sample, not a global optimization run.</w:t>
      </w:r>
    </w:p>
    <w:p>
      <w:pPr>
        <w:pStyle w:val="ListBullet"/>
      </w:pPr>
      <w:r>
        <w:t>The 39 nondominated candidates are nondominated only within this frozen sample.</w:t>
      </w:r>
    </w:p>
    <w:p>
      <w:pPr>
        <w:pStyle w:val="ListBullet"/>
      </w:pPr>
      <w:r>
        <w:t>No claim is made that PV-PP learns better policies than multi-objective evolutionary algorithms.</w:t>
      </w:r>
    </w:p>
    <w:p>
      <w:pPr>
        <w:pStyle w:val="ListBullet"/>
      </w:pPr>
      <w:r>
        <w:t>The source defect in the Java wrapper means exact registered behavior and intended full six-objective/four-constraint behavior are not identical.</w:t>
      </w:r>
    </w:p>
    <w:p>
      <w:pPr>
        <w:pStyle w:val="ListBullet"/>
      </w:pPr>
      <w:r>
        <w:t>The combined path is justified by the native source logic; it is not an unrecorded modification of the benchmark.</w:t>
      </w:r>
    </w:p>
    <w:p>
      <w:pPr>
        <w:pStyle w:val="Heading1"/>
      </w:pPr>
      <w:r>
        <w:t>15. Final Status</w:t>
      </w:r>
    </w:p>
    <w:p>
      <w:r>
        <w:t>RWB-001: CLOSED / PASS AS REAL-WORLD ARCHITECTURE BENCHMARK.</w:t>
      </w:r>
    </w:p>
    <w:p>
      <w:r>
        <w:t>PRIMARY CLASSIFICATION: A — ADEQUACY / CONSTRAINT DISTINCTION.</w:t>
      </w:r>
    </w:p>
    <w:p>
      <w:r>
        <w:t>SUPPORTING CLASSIFICATIONS: P — MULTIDIMENSIONAL PRESERVATION; C — SCALAR CONTAINMENT.</w:t>
      </w:r>
    </w:p>
    <w:p>
      <w:r>
        <w:t>BENCHMARK DEFECT: RECORDED — JAVA WRAPPER USES TEN-YEAR MODE WHILE DECLARING DROUGHT METRICS REQUIRING COMBINED MODE.</w:t>
      </w:r>
    </w:p>
    <w:p>
      <w:r>
        <w:t>PV-PP CANONICAL ARCHITECTURE CHANGE: NONE.</w:t>
      </w:r>
    </w:p>
    <w:p>
      <w:pPr>
        <w:pStyle w:val="Heading1"/>
      </w:pPr>
      <w:r>
        <w:t>16. Execution Artifacts</w:t>
      </w:r>
    </w:p>
    <w:p>
      <w:pPr>
        <w:pStyle w:val="ListBullet"/>
      </w:pPr>
      <w:r>
        <w:t>Source repository: RealWorldBenchmarks.zip; frozen commit a4cc6312326df91dc92205b1aeac5721f83e1d36.</w:t>
      </w:r>
    </w:p>
    <w:p>
      <w:pPr>
        <w:pStyle w:val="ListBullet"/>
      </w:pPr>
      <w:r>
        <w:t>rwb001_native_make.log — native compilation transcript.</w:t>
      </w:r>
    </w:p>
    <w:p>
      <w:pPr>
        <w:pStyle w:val="ListBullet"/>
      </w:pPr>
      <w:r>
        <w:t>random250.json — 250 transformed candidate vectors and exact ten-year wrapper-path native outputs.</w:t>
      </w:r>
    </w:p>
    <w:p>
      <w:pPr>
        <w:pStyle w:val="ListBullet"/>
      </w:pPr>
      <w:r>
        <w:t>combined250.json — the same 250 candidates evaluated in source-consistent combined mode.</w:t>
      </w:r>
    </w:p>
    <w:p>
      <w:pPr>
        <w:pStyle w:val="ListBullet"/>
      </w:pPr>
      <w:r>
        <w:t>native_analysis_summary.json — comparison and sample-level analysis.</w:t>
      </w:r>
    </w:p>
    <w:p>
      <w:pPr>
        <w:pStyle w:val="ListBullet"/>
      </w:pPr>
      <w:r>
        <w:t>selected_native_cases.json — selected source-derived test cases used in the closeout reasoning.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