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RWB-002 Native Execution and Closeout</w:t>
      </w:r>
    </w:p>
    <w:p>
      <w:pPr>
        <w:jc w:val="center"/>
      </w:pPr>
      <w:r>
        <w:rPr>
          <w:b/>
        </w:rPr>
        <w:t>Lake Pollution Control Policy</w:t>
        <w:br/>
        <w:t>PV-PP Real-World Benchmark Program | August 2026</w:t>
      </w:r>
    </w:p>
    <w:p>
      <w:pPr>
        <w:pStyle w:val="Heading1"/>
      </w:pPr>
      <w:r>
        <w:t>1. Executive Result</w:t>
      </w:r>
    </w:p>
    <w:p>
      <w:r>
        <w:t>RWB-002 is CLOSED as a source-locked real-world benchmark. The supplied RealWorldBenchmarks repository was frozen to Git commit a4cc6312326df91dc92205b1aeac5721f83e1d36, the native LakeProblem implementation was compiled without source modification, and the benchmark was executed directly.</w:t>
      </w:r>
    </w:p>
    <w:p>
      <w:r>
        <w:t>The frozen PV-PP architecture represented the benchmark's central structure—persistent environmental state, time-indexed actions, nonlinear threshold behavior, multiple non-equivalent objectives, stochastic environmental input, and a hard reliability constraint—without requiring a new canonical operator or state primitive.</w:t>
      </w:r>
    </w:p>
    <w:p>
      <w:r>
        <w:t>Primary classification: A — Adequacy / Constraint Distinction. Supporting classification: P — Multidimensional Preservation. A benchmark stochasticity defect was discovered and retained in the record.</w:t>
      </w:r>
    </w:p>
    <w:p>
      <w:pPr>
        <w:pStyle w:val="Heading1"/>
      </w:pPr>
      <w:r>
        <w:t>2. Exact Source Definition</w:t>
      </w:r>
    </w:p>
    <w:p>
      <w:r>
        <w:t>The current Java source defines 100 decision variables, 4 objectives, and 1 constraint. Each decision variable is a real value between 0.0 and 0.1 representing anthropogenic phosphorus loading at a time step.</w:t>
      </w:r>
    </w:p>
    <w:tbl>
      <w:tblPr>
        <w:tblStyle w:val="TableGrid"/>
        <w:tblW w:type="auto" w:w="0"/>
        <w:tblLook w:firstColumn="1" w:firstRow="1" w:lastColumn="0" w:lastRow="0" w:noHBand="0" w:noVBand="1" w:val="04A0"/>
      </w:tblPr>
      <w:tblGrid>
        <w:gridCol w:w="3360"/>
        <w:gridCol w:w="3360"/>
        <w:gridCol w:w="3360"/>
      </w:tblGrid>
      <w:tr>
        <w:tc>
          <w:tcPr>
            <w:tcW w:type="dxa" w:w="3360"/>
          </w:tcPr>
          <w:p>
            <w:r>
              <w:t>Element</w:t>
            </w:r>
          </w:p>
        </w:tc>
        <w:tc>
          <w:tcPr>
            <w:tcW w:type="dxa" w:w="3360"/>
          </w:tcPr>
          <w:p>
            <w:r>
              <w:t>Source definition</w:t>
            </w:r>
          </w:p>
        </w:tc>
        <w:tc>
          <w:tcPr>
            <w:tcW w:type="dxa" w:w="3360"/>
          </w:tcPr>
          <w:p>
            <w:r>
              <w:t>Direction / threshold</w:t>
            </w:r>
          </w:p>
        </w:tc>
      </w:tr>
      <w:tr>
        <w:tc>
          <w:tcPr>
            <w:tcW w:type="dxa" w:w="3360"/>
          </w:tcPr>
          <w:p>
            <w:r>
              <w:t>Objective 1</w:t>
            </w:r>
          </w:p>
        </w:tc>
        <w:tc>
          <w:tcPr>
            <w:tcW w:type="dxa" w:w="3360"/>
          </w:tcPr>
          <w:p>
            <w:r>
              <w:t>Maximum phosphorus concentration averaged across samples</w:t>
            </w:r>
          </w:p>
        </w:tc>
        <w:tc>
          <w:tcPr>
            <w:tcW w:type="dxa" w:w="3360"/>
          </w:tcPr>
          <w:p>
            <w:r>
              <w:t>minimize</w:t>
            </w:r>
          </w:p>
        </w:tc>
      </w:tr>
      <w:tr>
        <w:tc>
          <w:tcPr>
            <w:tcW w:type="dxa" w:w="3360"/>
          </w:tcPr>
          <w:p>
            <w:r>
              <w:t>Objective 2</w:t>
            </w:r>
          </w:p>
        </w:tc>
        <w:tc>
          <w:tcPr>
            <w:tcW w:type="dxa" w:w="3360"/>
          </w:tcPr>
          <w:p>
            <w:r>
              <w:t>Expected discounted benefit from anthropogenic pollution</w:t>
            </w:r>
          </w:p>
        </w:tc>
        <w:tc>
          <w:tcPr>
            <w:tcW w:type="dxa" w:w="3360"/>
          </w:tcPr>
          <w:p>
            <w:r>
              <w:t>maximize</w:t>
            </w:r>
          </w:p>
        </w:tc>
      </w:tr>
      <w:tr>
        <w:tc>
          <w:tcPr>
            <w:tcW w:type="dxa" w:w="3360"/>
          </w:tcPr>
          <w:p>
            <w:r>
              <w:t>Objective 3</w:t>
            </w:r>
          </w:p>
        </w:tc>
        <w:tc>
          <w:tcPr>
            <w:tcW w:type="dxa" w:w="3360"/>
          </w:tcPr>
          <w:p>
            <w:r>
              <w:t>Probability/fraction of time satisfying the inertia condition</w:t>
            </w:r>
          </w:p>
        </w:tc>
        <w:tc>
          <w:tcPr>
            <w:tcW w:type="dxa" w:w="3360"/>
          </w:tcPr>
          <w:p>
            <w:r>
              <w:t>maximize</w:t>
            </w:r>
          </w:p>
        </w:tc>
      </w:tr>
      <w:tr>
        <w:tc>
          <w:tcPr>
            <w:tcW w:type="dxa" w:w="3360"/>
          </w:tcPr>
          <w:p>
            <w:r>
              <w:t>Objective 4</w:t>
            </w:r>
          </w:p>
        </w:tc>
        <w:tc>
          <w:tcPr>
            <w:tcW w:type="dxa" w:w="3360"/>
          </w:tcPr>
          <w:p>
            <w:r>
              <w:t>Reliability: fraction of time lake phosphorus remains below critical threshold</w:t>
            </w:r>
          </w:p>
        </w:tc>
        <w:tc>
          <w:tcPr>
            <w:tcW w:type="dxa" w:w="3360"/>
          </w:tcPr>
          <w:p>
            <w:r>
              <w:t>maximize</w:t>
            </w:r>
          </w:p>
        </w:tc>
      </w:tr>
      <w:tr>
        <w:tc>
          <w:tcPr>
            <w:tcW w:type="dxa" w:w="3360"/>
          </w:tcPr>
          <w:p>
            <w:r>
              <w:t>Constraint 1</w:t>
            </w:r>
          </w:p>
        </w:tc>
        <w:tc>
          <w:tcPr>
            <w:tcW w:type="dxa" w:w="3360"/>
          </w:tcPr>
          <w:p>
            <w:r>
              <w:t>Reliability</w:t>
            </w:r>
          </w:p>
        </w:tc>
        <w:tc>
          <w:tcPr>
            <w:tcW w:type="dxa" w:w="3360"/>
          </w:tcPr>
          <w:p>
            <w:r>
              <w:t>&gt;= 0.85</w:t>
            </w:r>
          </w:p>
        </w:tc>
      </w:tr>
    </w:tbl>
    <w:p>
      <w:r>
        <w:t>Native defaults are b=0.42, q=2, mu=0.02, sigma=0.0017783, discount factor delta=0.98, 100 time steps, and 100 nominal stochastic samples. If pcrit is not supplied, the executable computes the critical phosphorus threshold from the lake recycling/decay equilibrium equation.</w:t>
      </w:r>
    </w:p>
    <w:p>
      <w:pPr>
        <w:pStyle w:val="Heading1"/>
      </w:pPr>
      <w:r>
        <w:t>3. Dynamic Structure</w:t>
      </w:r>
    </w:p>
    <w:p>
      <w:r>
        <w:t>The lake state X is persistent. At each time step, the previous lake state is carried forward, reduced by decay, increased by nonlinear phosphorus recycling, then increased by anthropogenic pollution and natural phosphorus inflow. This means identical total loading can have different consequences when placed at different times, and a small increase in loading can push the system across a nonlinear ecological threshold.</w:t>
      </w:r>
    </w:p>
    <w:p>
      <w:pPr>
        <w:pStyle w:val="Heading1"/>
      </w:pPr>
      <w:r>
        <w:t>4. Native Build and Execution</w:t>
      </w:r>
    </w:p>
    <w:p>
      <w:r>
        <w:t>The native C++ implementation compiled successfully with the repository Makefile. Compilation produced only deprecation warnings from the bundled Boost 1.56 headers; no benchmark source code was edited.</w:t>
      </w:r>
    </w:p>
    <w:p>
      <w:r>
        <w:t>A frozen set of 817 policies was evaluated natively: 17 structured policies, 500 bounded random-walk policies, and 300 independently sampled policies. The policy-generation seed was 20260830. Of these, 23 satisfied the source reliability constraint and 794 did not. Within the sampled feasible set, 6 policies were nondominated across the four source objectives.</w:t>
      </w:r>
    </w:p>
    <w:p>
      <w:pPr>
        <w:pStyle w:val="Heading1"/>
      </w:pPr>
      <w:r>
        <w:t>5. Externally Defined Adequacy Boundary</w:t>
      </w:r>
    </w:p>
    <w:p>
      <w:r>
        <w:t>The benchmark itself supplies a hard distinction between attractive pollution benefits and acceptable ecological performance: reliability must be at least 0.85. This is not a PV-PP invention.</w:t>
      </w:r>
    </w:p>
    <w:p>
      <w:r>
        <w:t>The native constant-loading comparison is especially clear. A constant loading of 0.02 produced expected benefit 0.346952, maximum phosphorus about 0.1506, and reliability 1.00, so it was feasible. Raising the loading only to 0.03 increased expected benefit to 0.520428 but drove maximum phosphorus to about 2.0404 and reliability to 0.49, making the policy infeasible. A compensating gain in benefit cannot erase the failed reliability constraint.</w:t>
      </w:r>
    </w:p>
    <w:p>
      <w:pPr>
        <w:pStyle w:val="Heading1"/>
      </w:pPr>
      <w:r>
        <w:t>6. Threshold and Persistent-State Evidence</w:t>
      </w:r>
    </w:p>
    <w:p>
      <w:r>
        <w:t>The transition from constant loading 0.02 to 0.03 is not a smooth one-dimensional trade. In the frozen native run, maximum phosphorus jumped from roughly 0.15 to 2.04 while reliability fell from 1.00 to 0.49. This is exactly the kind of threshold-sensitive consequence structure that must remain visible through projection and adequacy testing.</w:t>
      </w:r>
    </w:p>
    <w:p>
      <w:r>
        <w:t>Temporal order also mattered. A low-then-high step policy and a high-then-low step policy used the same two loading levels for the same number of periods, yet their reliability differed sharply (0.56 versus 0.08) and their discounted benefits differed because early pollution is weighted more heavily. The source therefore does not permit the 100-step decision vector to be replaced by total pollution alone.</w:t>
      </w:r>
    </w:p>
    <w:p>
      <w:pPr>
        <w:pStyle w:val="Heading1"/>
      </w:pPr>
      <w:r>
        <w:t>7. Inertia as a Separate Decision Dimension</w:t>
      </w:r>
    </w:p>
    <w:p>
      <w:r>
        <w:t>The inertia objective rewards policies that avoid large downward changes in pollution loading. The alternating 0.02/0.08 policy achieved an inertia score of about 0.505, while smooth or constant policies generally achieved 1.0. This confirms that policy smoothness/path structure is a distinct benchmark objective rather than a hidden component of benefit or reliability.</w:t>
      </w:r>
    </w:p>
    <w:p>
      <w:pPr>
        <w:pStyle w:val="Heading1"/>
      </w:pPr>
      <w:r>
        <w:t>8. Multidimensional Preservation</w:t>
      </w:r>
    </w:p>
    <w:p>
      <w:r>
        <w:t>Only 23 of the 817 sampled native policies satisfied reliability &gt;= 0.85, and 6 of those were sample-nondominated. The feasible set therefore still contains multiple non-equivalent performance profiles after the hard adequacy boundary is applied. PV-PP can retain those profiles without imposing a universal weighted sum before adequacy is determined.</w:t>
      </w:r>
    </w:p>
    <w:p>
      <w:pPr>
        <w:pStyle w:val="Heading1"/>
      </w:pPr>
      <w:r>
        <w:t>9. Benchmark Stochasticity Defect</w:t>
      </w:r>
    </w:p>
    <w:p>
      <w:r>
        <w:t>The native natural-inflow generator creates a new Mersenne Twister and seeds it with time(NULL) every time `generateSOW` is called. Because the 100 scenarios for a policy are normally generated within the same second, many or all nominal Monte Carlo scenarios receive the same seed and therefore the same inflow sequence. This defeats the intended independence of the 100 stochastic samples.</w:t>
      </w:r>
    </w:p>
    <w:p>
      <w:r>
        <w:t>The defect is observable without modifying the source. Running the identical constant-0.02 policy in separate processes more than two seconds apart produced maximum-phosphorus values of 0.149041, 0.147108, and 0.153991, while benefit, inertia, and reliability remained unchanged in those three particular runs. The result is time-seeded but the nominal within-policy sample ensemble is not independently seeded as intended.</w:t>
      </w:r>
    </w:p>
    <w:p>
      <w:r>
        <w:t>This is classified as a benchmark implementation defect. It does not count as a PV-PP failure, and the benchmark was not patched to make PV-PP look better. All reported execution results above are from the source as supplied.</w:t>
      </w:r>
    </w:p>
    <w:p>
      <w:pPr>
        <w:pStyle w:val="Heading1"/>
      </w:pPr>
      <w:r>
        <w:t>10. PV-PP Test Disposition</w:t>
      </w:r>
    </w:p>
    <w:p>
      <w:r>
        <w:rPr>
          <w:b/>
        </w:rPr>
        <w:t xml:space="preserve">T1 — Representation fidelity: PASS. </w:t>
      </w:r>
      <w:r>
        <w:t>All 100 time-indexed decisions, four objectives, and the reliability constraint are explicitly preserved.</w:t>
      </w:r>
    </w:p>
    <w:p>
      <w:r>
        <w:rPr>
          <w:b/>
        </w:rPr>
        <w:t xml:space="preserve">T2 — Constraint before preference: PASS. </w:t>
      </w:r>
      <w:r>
        <w:t>Higher expected benefit does not make a policy adequate when reliability falls below 0.85.</w:t>
      </w:r>
    </w:p>
    <w:p>
      <w:r>
        <w:rPr>
          <w:b/>
        </w:rPr>
        <w:t xml:space="preserve">T3 — Persistent-state dynamics: PASS. </w:t>
      </w:r>
      <w:r>
        <w:t>The representation preserves state carry-forward and path-dependent consequences.</w:t>
      </w:r>
    </w:p>
    <w:p>
      <w:r>
        <w:rPr>
          <w:b/>
        </w:rPr>
        <w:t xml:space="preserve">T4 — Threshold sensitivity: PASS. </w:t>
      </w:r>
      <w:r>
        <w:t>Projection and adequacy preserve the sharp change around the ecological threshold rather than smoothing it into a harmless marginal trade.</w:t>
      </w:r>
    </w:p>
    <w:p>
      <w:r>
        <w:rPr>
          <w:b/>
        </w:rPr>
        <w:t xml:space="preserve">T5 — Temporal/inertia structure: PASS. </w:t>
      </w:r>
      <w:r>
        <w:t>The benchmark's separate inertia objective and ordering effects remain explicit.</w:t>
      </w:r>
    </w:p>
    <w:p>
      <w:r>
        <w:rPr>
          <w:b/>
        </w:rPr>
        <w:t xml:space="preserve">T6 — Multidimensional preservation: PASS. </w:t>
      </w:r>
      <w:r>
        <w:t>Multiple feasible sample-nondominated profiles remain after the hard constraint is applied.</w:t>
      </w:r>
    </w:p>
    <w:p>
      <w:r>
        <w:rPr>
          <w:b/>
        </w:rPr>
        <w:t xml:space="preserve">T7 — Fallback semantics: PASS. </w:t>
      </w:r>
      <w:r>
        <w:t>If a candidate set contains no policy meeting reliability &gt;= 0.85, PV-PP can select a bounded fallback without relabeling it adequate.</w:t>
      </w:r>
    </w:p>
    <w:p>
      <w:pPr>
        <w:pStyle w:val="Heading1"/>
      </w:pPr>
      <w:r>
        <w:t>11. Scalar-Reduction Reading</w:t>
      </w:r>
    </w:p>
    <w:p>
      <w:r>
        <w:t>RWB-002 does not justify the claim that scalar reduction is always impossible. It does show that an unrestricted scalarization can be unsafe if it permits expected benefit or other objectives to compensate for violation of the externally defined reliability floor. Conditional scalar reduction remains possible only after the relevant constraint and structural distinctions have been shown to survive the reduction.</w:t>
      </w:r>
    </w:p>
    <w:p>
      <w:pPr>
        <w:pStyle w:val="Heading1"/>
      </w:pPr>
      <w:r>
        <w:t>12. Architectural Result</w:t>
      </w:r>
    </w:p>
    <w:p>
      <w:r>
        <w:t>No new canonical PV-PP operator or state primitive is indicated. Existing architecture already distinguishes state from policy, projected consequences from actual transition, hard constraints from preference, adequacy from selection, and multidimensional consequence structure from optional later reduction. The nonlinear lake dynamics are an environmental transition model, not a reason to introduce a benchmark-specific PV-PP primitive.</w:t>
      </w:r>
    </w:p>
    <w:p>
      <w:pPr>
        <w:pStyle w:val="Heading1"/>
      </w:pPr>
      <w:r>
        <w:t>13. Limits</w:t>
      </w:r>
    </w:p>
    <w:p>
      <w:pPr>
        <w:pStyle w:val="ListBullet"/>
      </w:pPr>
      <w:r>
        <w:t>The 817-policy execution is a controlled native sample, not a global optimization run.</w:t>
      </w:r>
    </w:p>
    <w:p>
      <w:pPr>
        <w:pStyle w:val="ListBullet"/>
      </w:pPr>
      <w:r>
        <w:t>The six sample-nondominated feasible policies are nondominated only within the frozen candidate sample.</w:t>
      </w:r>
    </w:p>
    <w:p>
      <w:pPr>
        <w:pStyle w:val="ListBullet"/>
      </w:pPr>
      <w:r>
        <w:t>The benchmark's nominal 100-scenario stochastic evaluation is compromised by the source's repeated time-based reseeding.</w:t>
      </w:r>
    </w:p>
    <w:p>
      <w:pPr>
        <w:pStyle w:val="ListBullet"/>
      </w:pPr>
      <w:r>
        <w:t>PV-PP was evaluated as a decision architecture, not as a replacement optimization or learning algorithm.</w:t>
      </w:r>
    </w:p>
    <w:p>
      <w:pPr>
        <w:pStyle w:val="ListBullet"/>
      </w:pPr>
      <w:r>
        <w:t>No claim is made that PV-PP discovers better lake policies than Borg, MOEA Framework algorithms, or other optimizers.</w:t>
      </w:r>
    </w:p>
    <w:p>
      <w:pPr>
        <w:pStyle w:val="Heading1"/>
      </w:pPr>
      <w:r>
        <w:t>14. Final Status</w:t>
      </w:r>
    </w:p>
    <w:p>
      <w:r>
        <w:t>RWB-002: CLOSED / PASS AS REAL-WORLD ARCHITECTURE BENCHMARK.</w:t>
      </w:r>
    </w:p>
    <w:p>
      <w:r>
        <w:t>PRIMARY CLASSIFICATION: A — ADEQUACY / CONSTRAINT DISTINCTION.</w:t>
      </w:r>
    </w:p>
    <w:p>
      <w:r>
        <w:t>SUPPORTING CLASSIFICATION: P — MULTIDIMENSIONAL PRESERVATION.</w:t>
      </w:r>
    </w:p>
    <w:p>
      <w:r>
        <w:t>BENCHMARK DEFECT: RECORDED — TIME-BASED RESEEDING COMPROMISES INDEPENDENCE OF THE NOMINAL 100 MONTE CARLO SAMPLES.</w:t>
      </w:r>
    </w:p>
    <w:p>
      <w:r>
        <w:t>PV-PP CANONICAL ARCHITECTURE CHANGE: NONE.</w:t>
      </w:r>
    </w:p>
    <w:p>
      <w:pPr>
        <w:pStyle w:val="Heading1"/>
      </w:pPr>
      <w:r>
        <w:t>15. Execution Artifacts</w:t>
      </w:r>
    </w:p>
    <w:p>
      <w:pPr>
        <w:pStyle w:val="ListBullet"/>
      </w:pPr>
      <w:r>
        <w:t>RealWorldBenchmarks.zip — supplied source repository; frozen commit a4cc6312326df91dc92205b1aeac5721f83e1d36.</w:t>
      </w:r>
    </w:p>
    <w:p>
      <w:pPr>
        <w:pStyle w:val="ListBullet"/>
      </w:pPr>
      <w:r>
        <w:t>rwb002_native_make.log — native compilation transcript.</w:t>
      </w:r>
    </w:p>
    <w:p>
      <w:pPr>
        <w:pStyle w:val="ListBullet"/>
      </w:pPr>
      <w:r>
        <w:t>rwb002_run.py — frozen native candidate-generation and analysis harness.</w:t>
      </w:r>
    </w:p>
    <w:p>
      <w:pPr>
        <w:pStyle w:val="ListBullet"/>
      </w:pPr>
      <w:r>
        <w:t>rwb002_native_records.json — all 817 policies and native outputs.</w:t>
      </w:r>
    </w:p>
    <w:p>
      <w:pPr>
        <w:pStyle w:val="ListBullet"/>
      </w:pPr>
      <w:r>
        <w:t>rwb002_native_summary.json — execution summary and sampled Pareto count.</w:t>
      </w:r>
    </w:p>
    <w:p>
      <w:pPr>
        <w:pStyle w:val="ListBullet"/>
      </w:pPr>
      <w:r>
        <w:t>rwb002_repeatability.json — repeated identical-policy executions used to document time-seeded variation.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