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RWB-003 Native Execution and Closeout</w:t>
      </w:r>
    </w:p>
    <w:p>
      <w:pPr>
        <w:jc w:val="center"/>
      </w:pPr>
      <w:r>
        <w:rPr>
          <w:b/>
        </w:rPr>
        <w:t>General Aviation Aircraft Product-Family Design</w:t>
        <w:br/>
        <w:t>PV-PP Real-World Benchmark Program | August 2026</w:t>
      </w:r>
    </w:p>
    <w:p>
      <w:pPr>
        <w:pStyle w:val="Heading1"/>
      </w:pPr>
      <w:r>
        <w:t>1. Executive Result</w:t>
      </w:r>
    </w:p>
    <w:p>
      <w:r>
        <w:t>RWB-003 is CLOSED as a source-locked real-world benchmark. The supplied MOEAFramework/RealWorldBenchmarks repository was frozen to Git commit a4cc6312326df91dc92205b1aeac5721f83e1d36. The exact GAA.java response-surface implementation was compiled and executed without modifying its benchmark equations.</w:t>
      </w:r>
    </w:p>
    <w:p>
      <w:r>
        <w:t>The frozen PV-PP architecture represented the benchmark's central structure: three coupled aircraft designs, family-level worst-case performance, multiple non-equivalent performance objectives, a product-family commonality penalty, and an externally defined feasibility gate. No new canonical PV-PP operator or state primitive was required.</w:t>
      </w:r>
    </w:p>
    <w:p>
      <w:r>
        <w:t>Primary classification: P — Multidimensional Preservation. Supporting classifications: A — Adequacy / Constraint Distinction and C — Scalar Containment.</w:t>
      </w:r>
    </w:p>
    <w:p>
      <w:pPr>
        <w:pStyle w:val="Heading1"/>
      </w:pPr>
      <w:r>
        <w:t>2. Exact Source Definition</w:t>
      </w:r>
    </w:p>
    <w:p>
      <w:r>
        <w:t>The Java source defines 27 real decision variables, 10 objectives, and one constraint. The 27 variables are arranged as nine design variables for each of three aircraft variants (2-seat, 4-seat, and 6-seat). The nine design dimensions are cruise speed, aspect ratio, wing sweep, propeller diameter, wing loading, airfoil factor, seat width, lift-to-drag-related parameter, and taper ratio.</w:t>
      </w:r>
    </w:p>
    <w:tbl>
      <w:tblPr>
        <w:tblStyle w:val="TableGrid"/>
        <w:tblW w:type="auto" w:w="0"/>
        <w:tblLook w:firstColumn="1" w:firstRow="1" w:lastColumn="0" w:lastRow="0" w:noHBand="0" w:noVBand="1" w:val="04A0"/>
      </w:tblPr>
      <w:tblGrid>
        <w:gridCol w:w="3389"/>
        <w:gridCol w:w="3389"/>
        <w:gridCol w:w="3389"/>
      </w:tblGrid>
      <w:tr>
        <w:tc>
          <w:tcPr>
            <w:tcW w:type="dxa" w:w="3389"/>
          </w:tcPr>
          <w:p>
            <w:r>
              <w:t>Objective</w:t>
            </w:r>
          </w:p>
        </w:tc>
        <w:tc>
          <w:tcPr>
            <w:tcW w:type="dxa" w:w="3389"/>
          </w:tcPr>
          <w:p>
            <w:r>
              <w:t>Source name</w:t>
            </w:r>
          </w:p>
        </w:tc>
        <w:tc>
          <w:tcPr>
            <w:tcW w:type="dxa" w:w="3389"/>
          </w:tcPr>
          <w:p>
            <w:r>
              <w:t>Direction</w:t>
            </w:r>
          </w:p>
        </w:tc>
      </w:tr>
      <w:tr>
        <w:tc>
          <w:tcPr>
            <w:tcW w:type="dxa" w:w="3389"/>
          </w:tcPr>
          <w:p>
            <w:r>
              <w:t>1</w:t>
            </w:r>
          </w:p>
        </w:tc>
        <w:tc>
          <w:tcPr>
            <w:tcW w:type="dxa" w:w="3389"/>
          </w:tcPr>
          <w:p>
            <w:r>
              <w:t>max_NOISE</w:t>
            </w:r>
          </w:p>
        </w:tc>
        <w:tc>
          <w:tcPr>
            <w:tcW w:type="dxa" w:w="3389"/>
          </w:tcPr>
          <w:p>
            <w:r>
              <w:t>minimize</w:t>
            </w:r>
          </w:p>
        </w:tc>
      </w:tr>
      <w:tr>
        <w:tc>
          <w:tcPr>
            <w:tcW w:type="dxa" w:w="3389"/>
          </w:tcPr>
          <w:p>
            <w:r>
              <w:t>2</w:t>
            </w:r>
          </w:p>
        </w:tc>
        <w:tc>
          <w:tcPr>
            <w:tcW w:type="dxa" w:w="3389"/>
          </w:tcPr>
          <w:p>
            <w:r>
              <w:t>max_WEMP</w:t>
            </w:r>
          </w:p>
        </w:tc>
        <w:tc>
          <w:tcPr>
            <w:tcW w:type="dxa" w:w="3389"/>
          </w:tcPr>
          <w:p>
            <w:r>
              <w:t>minimize</w:t>
            </w:r>
          </w:p>
        </w:tc>
      </w:tr>
      <w:tr>
        <w:tc>
          <w:tcPr>
            <w:tcW w:type="dxa" w:w="3389"/>
          </w:tcPr>
          <w:p>
            <w:r>
              <w:t>3</w:t>
            </w:r>
          </w:p>
        </w:tc>
        <w:tc>
          <w:tcPr>
            <w:tcW w:type="dxa" w:w="3389"/>
          </w:tcPr>
          <w:p>
            <w:r>
              <w:t>max_DOC</w:t>
            </w:r>
          </w:p>
        </w:tc>
        <w:tc>
          <w:tcPr>
            <w:tcW w:type="dxa" w:w="3389"/>
          </w:tcPr>
          <w:p>
            <w:r>
              <w:t>minimize</w:t>
            </w:r>
          </w:p>
        </w:tc>
      </w:tr>
      <w:tr>
        <w:tc>
          <w:tcPr>
            <w:tcW w:type="dxa" w:w="3389"/>
          </w:tcPr>
          <w:p>
            <w:r>
              <w:t>4</w:t>
            </w:r>
          </w:p>
        </w:tc>
        <w:tc>
          <w:tcPr>
            <w:tcW w:type="dxa" w:w="3389"/>
          </w:tcPr>
          <w:p>
            <w:r>
              <w:t>max_ROUGH</w:t>
            </w:r>
          </w:p>
        </w:tc>
        <w:tc>
          <w:tcPr>
            <w:tcW w:type="dxa" w:w="3389"/>
          </w:tcPr>
          <w:p>
            <w:r>
              <w:t>minimize</w:t>
            </w:r>
          </w:p>
        </w:tc>
      </w:tr>
      <w:tr>
        <w:tc>
          <w:tcPr>
            <w:tcW w:type="dxa" w:w="3389"/>
          </w:tcPr>
          <w:p>
            <w:r>
              <w:t>5</w:t>
            </w:r>
          </w:p>
        </w:tc>
        <w:tc>
          <w:tcPr>
            <w:tcW w:type="dxa" w:w="3389"/>
          </w:tcPr>
          <w:p>
            <w:r>
              <w:t>max_WFUEL</w:t>
            </w:r>
          </w:p>
        </w:tc>
        <w:tc>
          <w:tcPr>
            <w:tcW w:type="dxa" w:w="3389"/>
          </w:tcPr>
          <w:p>
            <w:r>
              <w:t>minimize</w:t>
            </w:r>
          </w:p>
        </w:tc>
      </w:tr>
      <w:tr>
        <w:tc>
          <w:tcPr>
            <w:tcW w:type="dxa" w:w="3389"/>
          </w:tcPr>
          <w:p>
            <w:r>
              <w:t>6</w:t>
            </w:r>
          </w:p>
        </w:tc>
        <w:tc>
          <w:tcPr>
            <w:tcW w:type="dxa" w:w="3389"/>
          </w:tcPr>
          <w:p>
            <w:r>
              <w:t>max_PURCH</w:t>
            </w:r>
          </w:p>
        </w:tc>
        <w:tc>
          <w:tcPr>
            <w:tcW w:type="dxa" w:w="3389"/>
          </w:tcPr>
          <w:p>
            <w:r>
              <w:t>minimize</w:t>
            </w:r>
          </w:p>
        </w:tc>
      </w:tr>
      <w:tr>
        <w:tc>
          <w:tcPr>
            <w:tcW w:type="dxa" w:w="3389"/>
          </w:tcPr>
          <w:p>
            <w:r>
              <w:t>7</w:t>
            </w:r>
          </w:p>
        </w:tc>
        <w:tc>
          <w:tcPr>
            <w:tcW w:type="dxa" w:w="3389"/>
          </w:tcPr>
          <w:p>
            <w:r>
              <w:t>min_RANGE</w:t>
            </w:r>
          </w:p>
        </w:tc>
        <w:tc>
          <w:tcPr>
            <w:tcW w:type="dxa" w:w="3389"/>
          </w:tcPr>
          <w:p>
            <w:r>
              <w:t>maximize</w:t>
            </w:r>
          </w:p>
        </w:tc>
      </w:tr>
      <w:tr>
        <w:tc>
          <w:tcPr>
            <w:tcW w:type="dxa" w:w="3389"/>
          </w:tcPr>
          <w:p>
            <w:r>
              <w:t>8</w:t>
            </w:r>
          </w:p>
        </w:tc>
        <w:tc>
          <w:tcPr>
            <w:tcW w:type="dxa" w:w="3389"/>
          </w:tcPr>
          <w:p>
            <w:r>
              <w:t>min_LDMAX</w:t>
            </w:r>
          </w:p>
        </w:tc>
        <w:tc>
          <w:tcPr>
            <w:tcW w:type="dxa" w:w="3389"/>
          </w:tcPr>
          <w:p>
            <w:r>
              <w:t>maximize</w:t>
            </w:r>
          </w:p>
        </w:tc>
      </w:tr>
      <w:tr>
        <w:tc>
          <w:tcPr>
            <w:tcW w:type="dxa" w:w="3389"/>
          </w:tcPr>
          <w:p>
            <w:r>
              <w:t>9</w:t>
            </w:r>
          </w:p>
        </w:tc>
        <w:tc>
          <w:tcPr>
            <w:tcW w:type="dxa" w:w="3389"/>
          </w:tcPr>
          <w:p>
            <w:r>
              <w:t>min_VCMAX</w:t>
            </w:r>
          </w:p>
        </w:tc>
        <w:tc>
          <w:tcPr>
            <w:tcW w:type="dxa" w:w="3389"/>
          </w:tcPr>
          <w:p>
            <w:r>
              <w:t>maximize</w:t>
            </w:r>
          </w:p>
        </w:tc>
      </w:tr>
      <w:tr>
        <w:tc>
          <w:tcPr>
            <w:tcW w:type="dxa" w:w="3389"/>
          </w:tcPr>
          <w:p>
            <w:r>
              <w:t>10</w:t>
            </w:r>
          </w:p>
        </w:tc>
        <w:tc>
          <w:tcPr>
            <w:tcW w:type="dxa" w:w="3389"/>
          </w:tcPr>
          <w:p>
            <w:r>
              <w:t>PFPF product-family penalty</w:t>
            </w:r>
          </w:p>
        </w:tc>
        <w:tc>
          <w:tcPr>
            <w:tcW w:type="dxa" w:w="3389"/>
          </w:tcPr>
          <w:p>
            <w:r>
              <w:t>minimize</w:t>
            </w:r>
          </w:p>
        </w:tc>
      </w:tr>
    </w:tbl>
    <w:p>
      <w:r>
        <w:t>For objectives 1-6 the benchmark reports the worst (maximum) value across the three aircraft. For objectives 7-9 it reports the worst (minimum) value across the three aircraft. Objective 10 measures product-family differentiation: it is zero when the three aircraft use identical normalized design settings and increases as their designs diverge.</w:t>
      </w:r>
    </w:p>
    <w:p>
      <w:pPr>
        <w:pStyle w:val="Heading1"/>
      </w:pPr>
      <w:r>
        <w:t>3. Exact Feasibility Structure</w:t>
      </w:r>
    </w:p>
    <w:p>
      <w:r>
        <w:t>The single exposed constraint, CV_TOTAL &lt;= 0, is not an arbitrary opaque scalar. The source constructs it as the sum of 18 normalized nonnegative requirement violations: six requirements for each of the three aircraft.</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Requirement</w:t>
            </w:r>
          </w:p>
        </w:tc>
        <w:tc>
          <w:tcPr>
            <w:tcW w:type="dxa" w:w="2541"/>
          </w:tcPr>
          <w:p>
            <w:r>
              <w:t>2-seat</w:t>
            </w:r>
          </w:p>
        </w:tc>
        <w:tc>
          <w:tcPr>
            <w:tcW w:type="dxa" w:w="2541"/>
          </w:tcPr>
          <w:p>
            <w:r>
              <w:t>4-seat</w:t>
            </w:r>
          </w:p>
        </w:tc>
        <w:tc>
          <w:tcPr>
            <w:tcW w:type="dxa" w:w="2541"/>
          </w:tcPr>
          <w:p>
            <w:r>
              <w:t>6-seat</w:t>
            </w:r>
          </w:p>
        </w:tc>
      </w:tr>
      <w:tr>
        <w:tc>
          <w:tcPr>
            <w:tcW w:type="dxa" w:w="2541"/>
          </w:tcPr>
          <w:p>
            <w:r>
              <w:t>Noise</w:t>
            </w:r>
          </w:p>
        </w:tc>
        <w:tc>
          <w:tcPr>
            <w:tcW w:type="dxa" w:w="2541"/>
          </w:tcPr>
          <w:p>
            <w:r>
              <w:t>&lt;= 75</w:t>
            </w:r>
          </w:p>
        </w:tc>
        <w:tc>
          <w:tcPr>
            <w:tcW w:type="dxa" w:w="2541"/>
          </w:tcPr>
          <w:p>
            <w:r>
              <w:t>&lt;= 75</w:t>
            </w:r>
          </w:p>
        </w:tc>
        <w:tc>
          <w:tcPr>
            <w:tcW w:type="dxa" w:w="2541"/>
          </w:tcPr>
          <w:p>
            <w:r>
              <w:t>&lt;= 75</w:t>
            </w:r>
          </w:p>
        </w:tc>
      </w:tr>
      <w:tr>
        <w:tc>
          <w:tcPr>
            <w:tcW w:type="dxa" w:w="2541"/>
          </w:tcPr>
          <w:p>
            <w:r>
              <w:t>Empty weight (WEMP)</w:t>
            </w:r>
          </w:p>
        </w:tc>
        <w:tc>
          <w:tcPr>
            <w:tcW w:type="dxa" w:w="2541"/>
          </w:tcPr>
          <w:p>
            <w:r>
              <w:t>&lt;= 2200</w:t>
            </w:r>
          </w:p>
        </w:tc>
        <w:tc>
          <w:tcPr>
            <w:tcW w:type="dxa" w:w="2541"/>
          </w:tcPr>
          <w:p>
            <w:r>
              <w:t>&lt;= 2200</w:t>
            </w:r>
          </w:p>
        </w:tc>
        <w:tc>
          <w:tcPr>
            <w:tcW w:type="dxa" w:w="2541"/>
          </w:tcPr>
          <w:p>
            <w:r>
              <w:t>&lt;= 2200</w:t>
            </w:r>
          </w:p>
        </w:tc>
      </w:tr>
      <w:tr>
        <w:tc>
          <w:tcPr>
            <w:tcW w:type="dxa" w:w="2541"/>
          </w:tcPr>
          <w:p>
            <w:r>
              <w:t>Direct operating cost (DOC)</w:t>
            </w:r>
          </w:p>
        </w:tc>
        <w:tc>
          <w:tcPr>
            <w:tcW w:type="dxa" w:w="2541"/>
          </w:tcPr>
          <w:p>
            <w:r>
              <w:t>&lt;= 80</w:t>
            </w:r>
          </w:p>
        </w:tc>
        <w:tc>
          <w:tcPr>
            <w:tcW w:type="dxa" w:w="2541"/>
          </w:tcPr>
          <w:p>
            <w:r>
              <w:t>&lt;= 80</w:t>
            </w:r>
          </w:p>
        </w:tc>
        <w:tc>
          <w:tcPr>
            <w:tcW w:type="dxa" w:w="2541"/>
          </w:tcPr>
          <w:p>
            <w:r>
              <w:t>&lt;= 80</w:t>
            </w:r>
          </w:p>
        </w:tc>
      </w:tr>
      <w:tr>
        <w:tc>
          <w:tcPr>
            <w:tcW w:type="dxa" w:w="2541"/>
          </w:tcPr>
          <w:p>
            <w:r>
              <w:t>Roughness</w:t>
            </w:r>
          </w:p>
        </w:tc>
        <w:tc>
          <w:tcPr>
            <w:tcW w:type="dxa" w:w="2541"/>
          </w:tcPr>
          <w:p>
            <w:r>
              <w:t>&lt;= 2</w:t>
            </w:r>
          </w:p>
        </w:tc>
        <w:tc>
          <w:tcPr>
            <w:tcW w:type="dxa" w:w="2541"/>
          </w:tcPr>
          <w:p>
            <w:r>
              <w:t>&lt;= 2</w:t>
            </w:r>
          </w:p>
        </w:tc>
        <w:tc>
          <w:tcPr>
            <w:tcW w:type="dxa" w:w="2541"/>
          </w:tcPr>
          <w:p>
            <w:r>
              <w:t>&lt;= 2</w:t>
            </w:r>
          </w:p>
        </w:tc>
      </w:tr>
      <w:tr>
        <w:tc>
          <w:tcPr>
            <w:tcW w:type="dxa" w:w="2541"/>
          </w:tcPr>
          <w:p>
            <w:r>
              <w:t>Fuel weight (WFUEL)</w:t>
            </w:r>
          </w:p>
        </w:tc>
        <w:tc>
          <w:tcPr>
            <w:tcW w:type="dxa" w:w="2541"/>
          </w:tcPr>
          <w:p>
            <w:r>
              <w:t>&lt;= 450</w:t>
            </w:r>
          </w:p>
        </w:tc>
        <w:tc>
          <w:tcPr>
            <w:tcW w:type="dxa" w:w="2541"/>
          </w:tcPr>
          <w:p>
            <w:r>
              <w:t>&lt;= 475</w:t>
            </w:r>
          </w:p>
        </w:tc>
        <w:tc>
          <w:tcPr>
            <w:tcW w:type="dxa" w:w="2541"/>
          </w:tcPr>
          <w:p>
            <w:r>
              <w:t>&lt;= 500</w:t>
            </w:r>
          </w:p>
        </w:tc>
      </w:tr>
      <w:tr>
        <w:tc>
          <w:tcPr>
            <w:tcW w:type="dxa" w:w="2541"/>
          </w:tcPr>
          <w:p>
            <w:r>
              <w:t>Range</w:t>
            </w:r>
          </w:p>
        </w:tc>
        <w:tc>
          <w:tcPr>
            <w:tcW w:type="dxa" w:w="2541"/>
          </w:tcPr>
          <w:p>
            <w:r>
              <w:t>&gt;= 2000</w:t>
            </w:r>
          </w:p>
        </w:tc>
        <w:tc>
          <w:tcPr>
            <w:tcW w:type="dxa" w:w="2541"/>
          </w:tcPr>
          <w:p>
            <w:r>
              <w:t>&gt;= 2000</w:t>
            </w:r>
          </w:p>
        </w:tc>
        <w:tc>
          <w:tcPr>
            <w:tcW w:type="dxa" w:w="2541"/>
          </w:tcPr>
          <w:p>
            <w:r>
              <w:t>&gt;= 2000</w:t>
            </w:r>
          </w:p>
        </w:tc>
      </w:tr>
    </w:tbl>
    <w:p>
      <w:r>
        <w:t>Each component violation is clipped at zero before summation. Therefore CV_TOTAL = 0 if and only if every one of the 18 underlying requirements is satisfied. This is a source-defined example of a scalar feasibility reduction that is logically lossless for the binary adequate/inadequate decision, although the scalar total does not preserve the identity of which individual requirement failed.</w:t>
      </w:r>
    </w:p>
    <w:p>
      <w:pPr>
        <w:pStyle w:val="Heading1"/>
      </w:pPr>
      <w:r>
        <w:t>4. Execution Method and Validation</w:t>
      </w:r>
    </w:p>
    <w:p>
      <w:r>
        <w:t>The benchmark equations are pure Java. Because Maven was not installed in the execution container, a minimal compatibility shell was supplied only for the MOEA Framework container classes (Solution, RealVariable, objective labels, and constraint label). The repository's GAA.java itself was compiled unchanged and its evaluate() method performed every benchmark calculation.</w:t>
      </w:r>
    </w:p>
    <w:p>
      <w:r>
        <w:t>Execution fidelity was checked against the repository's own GAATest.java lower-bound and upper-bound reference cases. The calculated ten objective values and total constraint violation matched the repository test values to floating-point precision. This validates the compatibility shell as a carrier for the exact benchmark equations rather than a reimplementation of them.</w:t>
      </w:r>
    </w:p>
    <w:p>
      <w:pPr>
        <w:pStyle w:val="Heading1"/>
      </w:pPr>
      <w:r>
        <w:t>5. Frozen Sampling Program</w:t>
      </w:r>
    </w:p>
    <w:p>
      <w:r>
        <w:t>Two deterministic sampling stages were used. Stage 1 evaluated 30,000 source-valid families using seed 20260830: 25,000 independently designed three-aircraft families plus 5,000 fully common families in which all three aircraft shared the same normalized nine-variable design. Stage 2 used seed 20260831 to generate 20,000 locally differentiated families around the feasible common designs discovered in Stage 1.</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t>Stage</w:t>
            </w:r>
          </w:p>
        </w:tc>
        <w:tc>
          <w:tcPr>
            <w:tcW w:type="dxa" w:w="2541"/>
          </w:tcPr>
          <w:p>
            <w:r>
              <w:t>Candidates</w:t>
            </w:r>
          </w:p>
        </w:tc>
        <w:tc>
          <w:tcPr>
            <w:tcW w:type="dxa" w:w="2541"/>
          </w:tcPr>
          <w:p>
            <w:r>
              <w:t>Feasible</w:t>
            </w:r>
          </w:p>
        </w:tc>
        <w:tc>
          <w:tcPr>
            <w:tcW w:type="dxa" w:w="2541"/>
          </w:tcPr>
          <w:p>
            <w:r>
              <w:t>Observation</w:t>
            </w:r>
          </w:p>
        </w:tc>
      </w:tr>
      <w:tr>
        <w:tc>
          <w:tcPr>
            <w:tcW w:type="dxa" w:w="2541"/>
          </w:tcPr>
          <w:p>
            <w:r>
              <w:t>Broad independent sample</w:t>
            </w:r>
          </w:p>
        </w:tc>
        <w:tc>
          <w:tcPr>
            <w:tcW w:type="dxa" w:w="2541"/>
          </w:tcPr>
          <w:p>
            <w:r>
              <w:t>25,000</w:t>
            </w:r>
          </w:p>
        </w:tc>
        <w:tc>
          <w:tcPr>
            <w:tcW w:type="dxa" w:w="2541"/>
          </w:tcPr>
          <w:p>
            <w:r>
              <w:t>0</w:t>
            </w:r>
          </w:p>
        </w:tc>
        <w:tc>
          <w:tcPr>
            <w:tcW w:type="dxa" w:w="2541"/>
          </w:tcPr>
          <w:p>
            <w:r>
              <w:t>No independently random family met all 18 requirements.</w:t>
            </w:r>
          </w:p>
        </w:tc>
      </w:tr>
      <w:tr>
        <w:tc>
          <w:tcPr>
            <w:tcW w:type="dxa" w:w="2541"/>
          </w:tcPr>
          <w:p>
            <w:r>
              <w:t>Broad fully common sample</w:t>
            </w:r>
          </w:p>
        </w:tc>
        <w:tc>
          <w:tcPr>
            <w:tcW w:type="dxa" w:w="2541"/>
          </w:tcPr>
          <w:p>
            <w:r>
              <w:t>5,000</w:t>
            </w:r>
          </w:p>
        </w:tc>
        <w:tc>
          <w:tcPr>
            <w:tcW w:type="dxa" w:w="2541"/>
          </w:tcPr>
          <w:p>
            <w:r>
              <w:t>5</w:t>
            </w:r>
          </w:p>
        </w:tc>
        <w:tc>
          <w:tcPr>
            <w:tcW w:type="dxa" w:w="2541"/>
          </w:tcPr>
          <w:p>
            <w:r>
              <w:t>Five families met all 18 requirements; PFPF approximately zero.</w:t>
            </w:r>
          </w:p>
        </w:tc>
      </w:tr>
      <w:tr>
        <w:tc>
          <w:tcPr>
            <w:tcW w:type="dxa" w:w="2541"/>
          </w:tcPr>
          <w:p>
            <w:r>
              <w:t>Local differentiated sample</w:t>
            </w:r>
          </w:p>
        </w:tc>
        <w:tc>
          <w:tcPr>
            <w:tcW w:type="dxa" w:w="2541"/>
          </w:tcPr>
          <w:p>
            <w:r>
              <w:t>20,000</w:t>
            </w:r>
          </w:p>
        </w:tc>
        <w:tc>
          <w:tcPr>
            <w:tcW w:type="dxa" w:w="2541"/>
          </w:tcPr>
          <w:p>
            <w:r>
              <w:t>12,108</w:t>
            </w:r>
          </w:p>
        </w:tc>
        <w:tc>
          <w:tcPr>
            <w:tcW w:type="dxa" w:w="2541"/>
          </w:tcPr>
          <w:p>
            <w:r>
              <w:t>Feasible differentiated families were abundant near feasible family designs.</w:t>
            </w:r>
          </w:p>
        </w:tc>
      </w:tr>
    </w:tbl>
    <w:p>
      <w:r>
        <w:t>The zero feasible count in the broad independent sample is not evidence that differentiated designs are impossible. The local stage demonstrates the opposite: once sampling is concentrated near viable family configurations, 12,108 of 20,000 differentiated families satisfy the exact source constraint.</w:t>
      </w:r>
    </w:p>
    <w:p>
      <w:pPr>
        <w:pStyle w:val="Heading1"/>
      </w:pPr>
      <w:r>
        <w:t>6. Product-Family Coupling</w:t>
      </w:r>
    </w:p>
    <w:p>
      <w:r>
        <w:t>GAA is not three independent aircraft optimizations pasted together. The first nine objectives are family-level worst-case measures, and PFPF explicitly couples the three variants through normalized design commonality. A change to one aircraft can therefore alter both its own performance and the product-family penalty.</w:t>
      </w:r>
    </w:p>
    <w:p>
      <w:r>
        <w:t>In the fully common Stage-1 families, PFPF was numerically zero apart from floating-point residue. In the feasible locally differentiated families, PFPF ranged from 0.0584 to 1.1443, with a median of 0.2292. Thus feasibility does not force exact commonality; the benchmark retains a real design-space tradeoff between family commonality and aircraft-specific performance.</w:t>
      </w:r>
    </w:p>
    <w:p>
      <w:pPr>
        <w:pStyle w:val="Heading1"/>
      </w:pPr>
      <w:r>
        <w:t>7. Multidimensional Evidence</w:t>
      </w:r>
    </w:p>
    <w:p>
      <w:r>
        <w:t>The ten objectives remain non-equivalent after feasibility screening. In a deterministic 1,500-policy subsample of feasible locally differentiated families, 1,168 were nondominated within that subsample. This high nondominated count is expected in a ten-objective design problem and is not presented as a reconstruction of the global Pareto frontier.</w:t>
      </w:r>
    </w:p>
    <w:p>
      <w:r>
        <w:t>The source therefore creates a strong preservation test: noise, weight, operating cost, roughness, fuel, purchase cost, range, lift-to-drag performance, cruise-speed performance, and family commonality cannot be assumed interchangeable merely because a scalar ranking can be invented.</w:t>
      </w:r>
    </w:p>
    <w:p>
      <w:pPr>
        <w:pStyle w:val="Heading1"/>
      </w:pPr>
      <w:r>
        <w:t>8. Scalar Containment Result</w:t>
      </w:r>
    </w:p>
    <w:p>
      <w:r>
        <w:t>RWB-003 provides both sides of the scalar-reduction question. For the feasibility gate, summing the 18 clipped nonnegative violations is safe because zero total violation is mathematically equivalent to zero violation in every component. PV-PP can therefore contain this scalar exactly without losing the benchmark's adequacy decision.</w:t>
      </w:r>
    </w:p>
    <w:p>
      <w:r>
        <w:t>The same conclusion does not automatically extend to the ten objectives. The benchmark intentionally retains ten separate performance dimensions, including a system-level commonality penalty. Any later scalar reduction would need an explicit stable mapping and would have to demonstrate that no decision-relevant distinction is erased.</w:t>
      </w:r>
    </w:p>
    <w:p>
      <w:pPr>
        <w:pStyle w:val="Heading1"/>
      </w:pPr>
      <w:r>
        <w:t>9. Adequacy Before Preference</w:t>
      </w:r>
    </w:p>
    <w:p>
      <w:r>
        <w:t>GAA's source semantics make feasibility prior to ordinary objective comparison. A family with attractive objective values but CV_TOTAL &gt; 0 violates at least one of the 18 aircraft requirements. PV-PP can preserve that distinction directly: failure of a governing requirement is not canceled merely because another performance objective improves.</w:t>
      </w:r>
    </w:p>
    <w:p>
      <w:r>
        <w:t>If every available family in a restricted candidate set is infeasible, the architecture may explicitly rank fallbacks by violation or other controlled criteria, but that selection does not convert the selected family into an adequate one.</w:t>
      </w:r>
    </w:p>
    <w:p>
      <w:pPr>
        <w:pStyle w:val="Heading1"/>
      </w:pPr>
      <w:r>
        <w:t>10. PV-PP Test Disposition</w:t>
      </w:r>
    </w:p>
    <w:p>
      <w:r>
        <w:rPr>
          <w:b/>
        </w:rPr>
        <w:t xml:space="preserve">T1 — Exact representation fidelity: PASS. </w:t>
      </w:r>
      <w:r>
        <w:t>All 27 source decision variables, 10 objectives, three-aircraft family structure, and source feasibility rule are preserved.</w:t>
      </w:r>
    </w:p>
    <w:p>
      <w:r>
        <w:rPr>
          <w:b/>
        </w:rPr>
        <w:t xml:space="preserve">T2 — Cross-entity/family coupling: PASS. </w:t>
      </w:r>
      <w:r>
        <w:t>PV-PP can represent three related product designs whose consequences are evaluated jointly at family level.</w:t>
      </w:r>
    </w:p>
    <w:p>
      <w:r>
        <w:rPr>
          <w:b/>
        </w:rPr>
        <w:t xml:space="preserve">T3 — Worst-case family consequences: PASS. </w:t>
      </w:r>
      <w:r>
        <w:t>Family-level maxima and minima remain explicit projected consequences rather than being replaced by an average aircraft.</w:t>
      </w:r>
    </w:p>
    <w:p>
      <w:r>
        <w:rPr>
          <w:b/>
        </w:rPr>
        <w:t xml:space="preserve">T4 — Product commonality tradeoff: PASS. </w:t>
      </w:r>
      <w:r>
        <w:t>PFPF remains a distinct system-level consequence while aircraft-specific performance remains separately represented.</w:t>
      </w:r>
    </w:p>
    <w:p>
      <w:r>
        <w:rPr>
          <w:b/>
        </w:rPr>
        <w:t xml:space="preserve">T5 — Adequacy / constraint distinction: PASS. </w:t>
      </w:r>
      <w:r>
        <w:t>CV_TOTAL = 0 is treated as the source feasibility gate before ordinary preference among feasible families.</w:t>
      </w:r>
    </w:p>
    <w:p>
      <w:r>
        <w:rPr>
          <w:b/>
        </w:rPr>
        <w:t xml:space="preserve">T6 — Safe scalar containment: PASS. </w:t>
      </w:r>
      <w:r>
        <w:t>The source's sum of clipped nonnegative violations is lossless for the binary feasibility question because zero sum implies every component is zero.</w:t>
      </w:r>
    </w:p>
    <w:p>
      <w:r>
        <w:rPr>
          <w:b/>
        </w:rPr>
        <w:t xml:space="preserve">T7 — Multidimensional preservation / fallback: PASS. </w:t>
      </w:r>
      <w:r>
        <w:t>Feasible families retain many non-equivalent objective profiles; inadequate fallbacks can be ranked without being mislabeled adequate.</w:t>
      </w:r>
    </w:p>
    <w:p>
      <w:pPr>
        <w:pStyle w:val="Heading1"/>
      </w:pPr>
      <w:r>
        <w:t>11. Architectural Result</w:t>
      </w:r>
    </w:p>
    <w:p>
      <w:r>
        <w:t>No new canonical PV-PP operator or state primitive is warranted. Existing architecture can represent the three aircraft as related entities or components, retain their design state and projected consequences, apply the externally defined family-level feasibility gate, preserve the ten-dimensional consequence structure, and perform later selection or reduction only under explicit rules.</w:t>
      </w:r>
    </w:p>
    <w:p>
      <w:r>
        <w:t>The product-family penalty is also not evidence for a new primitive. It is a benchmark-defined consequence of relational similarity among the three aircraft designs and can be carried within the existing consequence/domain structure.</w:t>
      </w:r>
    </w:p>
    <w:p>
      <w:pPr>
        <w:pStyle w:val="Heading1"/>
      </w:pPr>
      <w:r>
        <w:t>12. Limits</w:t>
      </w:r>
    </w:p>
    <w:p>
      <w:pPr>
        <w:pStyle w:val="ListBullet"/>
      </w:pPr>
      <w:r>
        <w:t>The 50,000 evaluated families are controlled samples, not a global many-objective optimization run.</w:t>
      </w:r>
    </w:p>
    <w:p>
      <w:pPr>
        <w:pStyle w:val="ListBullet"/>
      </w:pPr>
      <w:r>
        <w:t>The 1,168 nondominated families reported from the local stage are nondominated only within the fixed 1,500-policy subsample used for that diagnostic.</w:t>
      </w:r>
    </w:p>
    <w:p>
      <w:pPr>
        <w:pStyle w:val="ListBullet"/>
      </w:pPr>
      <w:r>
        <w:t>The broad random sample's lack of independently random feasible families is a sampling result, not a proof that differentiated feasible families are absent.</w:t>
      </w:r>
    </w:p>
    <w:p>
      <w:pPr>
        <w:pStyle w:val="ListBullet"/>
      </w:pPr>
      <w:r>
        <w:t>The compatibility shell reproduces the MOEA Framework data containers only; all GAA response-surface equations are executed from the unchanged repository GAA.java.</w:t>
      </w:r>
    </w:p>
    <w:p>
      <w:pPr>
        <w:pStyle w:val="ListBullet"/>
      </w:pPr>
      <w:r>
        <w:t>PV-PP is being tested as a decision architecture, not as a replacement for Borg, MOEA Framework algorithms, or product-design optimizers.</w:t>
      </w:r>
    </w:p>
    <w:p>
      <w:pPr>
        <w:pStyle w:val="Heading1"/>
      </w:pPr>
      <w:r>
        <w:t>13. Final Status</w:t>
      </w:r>
    </w:p>
    <w:p>
      <w:r>
        <w:t>RWB-003: CLOSED / PASS AS REAL-WORLD ARCHITECTURE BENCHMARK.</w:t>
      </w:r>
    </w:p>
    <w:p>
      <w:r>
        <w:t>PRIMARY CLASSIFICATION: P — MULTIDIMENSIONAL PRESERVATION.</w:t>
      </w:r>
    </w:p>
    <w:p>
      <w:r>
        <w:t>SUPPORTING CLASSIFICATIONS: A — ADEQUACY / CONSTRAINT DISTINCTION; C — SCALAR CONTAINMENT.</w:t>
      </w:r>
    </w:p>
    <w:p>
      <w:r>
        <w:t>BENCHMARK IMPLEMENTATION DEFECT: NONE IDENTIFIED IN THE EXECUTED GAA EQUATIONS.</w:t>
      </w:r>
    </w:p>
    <w:p>
      <w:r>
        <w:t>PV-PP CANONICAL ARCHITECTURE CHANGE: NONE.</w:t>
      </w:r>
    </w:p>
    <w:p>
      <w:pPr>
        <w:pStyle w:val="Heading1"/>
      </w:pPr>
      <w:r>
        <w:t>14. Exploratory Three-Case Program Disposition</w:t>
      </w:r>
    </w:p>
    <w:p>
      <w:r>
        <w:t>RWB-001, RWB-002, and RWB-003 have now all been executed against source-locked implementations from the same frozen repository. Across the three preselected real-world cases, no benchmark forced a new canonical PV-PP operator or state primitive.</w:t>
      </w:r>
    </w:p>
    <w:p>
      <w:r>
        <w:t>The three cases nevertheless exercised materially different structures: uncertain constrained resource portfolios (RWB-001), persistent nonlinear environmental dynamics and threshold reliability (RWB-002), and coupled many-objective product-family design (RWB-003). The exploratory stop condition is therefore reached. Expansion beyond these three cases should be a separate decision, not an automatic continuation.</w:t>
      </w:r>
    </w:p>
    <w:p>
      <w:pPr>
        <w:pStyle w:val="Heading1"/>
      </w:pPr>
      <w:r>
        <w:t>15. Execution Artifacts</w:t>
      </w:r>
    </w:p>
    <w:p>
      <w:pPr>
        <w:pStyle w:val="ListBullet"/>
      </w:pPr>
      <w:r>
        <w:t>RealWorldBenchmarks.zip — supplied source repository; frozen commit a4cc6312326df91dc92205b1aeac5721f83e1d36.</w:t>
      </w:r>
    </w:p>
    <w:p>
      <w:pPr>
        <w:pStyle w:val="ListBullet"/>
      </w:pPr>
      <w:r>
        <w:t>GAA.java — unchanged source benchmark equation implementation.</w:t>
      </w:r>
    </w:p>
    <w:p>
      <w:pPr>
        <w:pStyle w:val="ListBullet"/>
      </w:pPr>
      <w:r>
        <w:t>GAATest.java — repository fidelity checks for lower-bound and upper-bound solutions.</w:t>
      </w:r>
    </w:p>
    <w:p>
      <w:pPr>
        <w:pStyle w:val="ListBullet"/>
      </w:pPr>
      <w:r>
        <w:t>rwb003_validation.txt — exact execution outputs for the repository test vectors.</w:t>
      </w:r>
    </w:p>
    <w:p>
      <w:pPr>
        <w:pStyle w:val="ListBullet"/>
      </w:pPr>
      <w:r>
        <w:t>rwb003_sample_manifest.json — Stage-1 seed and sample composition.</w:t>
      </w:r>
    </w:p>
    <w:p>
      <w:pPr>
        <w:pStyle w:val="ListBullet"/>
      </w:pPr>
      <w:r>
        <w:t>rwb003_outputs.txt — 30,000 Stage-1 exact Java evaluations.</w:t>
      </w:r>
    </w:p>
    <w:p>
      <w:pPr>
        <w:pStyle w:val="ListBullet"/>
      </w:pPr>
      <w:r>
        <w:t>rwb003_local_manifest.json — Stage-2 seed, feasible bases, and perturbation scales.</w:t>
      </w:r>
    </w:p>
    <w:p>
      <w:pPr>
        <w:pStyle w:val="ListBullet"/>
      </w:pPr>
      <w:r>
        <w:t>rwb003_local_outputs.txt — 20,000 Stage-2 exact Java evaluations.</w:t>
      </w:r>
    </w:p>
    <w:p>
      <w:pPr>
        <w:pStyle w:val="ListBullet"/>
      </w:pPr>
      <w:r>
        <w:t>rwb003_summary.json and rwb003_local_summary.json — analysis summaries.</w:t>
      </w:r>
    </w:p>
    <w:p>
      <w:pPr>
        <w:pStyle w:val="ListBullet"/>
      </w:pPr>
      <w:r>
        <w:t>rwb003_local_pareto.json — fixed feasible subsample and nondominance diagnostic.</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