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cent"/>
        <w:spacing w:after="80"/>
        <w:jc w:val="left"/>
      </w:pPr>
      <w:r>
        <w:t>Architecture Supporting</w:t>
      </w:r>
    </w:p>
    <w:p>
      <w:pPr>
        <w:pStyle w:val="Title"/>
        <w:spacing w:after="40"/>
        <w:jc w:val="left"/>
      </w:pPr>
      <w:r>
        <w:t>PV–PP Decision Framework</w:t>
      </w:r>
    </w:p>
    <w:p>
      <w:pPr>
        <w:pStyle w:val="Title"/>
        <w:spacing w:after="160"/>
        <w:jc w:val="left"/>
      </w:pPr>
      <w:r>
        <w:t>Execution-Contingent Capability Revision and Adaptive Interaction Control</w:t>
      </w:r>
    </w:p>
    <w:p>
      <w:pPr>
        <w:pStyle w:val="Subtitle"/>
        <w:spacing w:after="240"/>
      </w:pPr>
      <w:r>
        <w:t>Supporting Specification (V1)</w:t>
      </w:r>
    </w:p>
    <w:tbl>
      <w:tblPr>
        <w:tblStyle w:val="TableGrid"/>
        <w:tblW w:type="auto" w:w="0"/>
        <w:jc w:val="left"/>
        <w:tblLayout w:type="fixed"/>
        <w:tblLook w:firstColumn="1" w:firstRow="1" w:lastColumn="0" w:lastRow="0" w:noHBand="0" w:noVBand="1" w:val="04A0"/>
      </w:tblPr>
      <w:tblGrid>
        <w:gridCol w:w="4824"/>
        <w:gridCol w:w="4824"/>
      </w:tblGrid>
      <w:tr>
        <w:tc>
          <w:tcPr>
            <w:tcW w:type="dxa" w:w="3096"/>
            <w:tcMar>
              <w:top w:w="80" w:type="dxa"/>
              <w:start w:w="100" w:type="dxa"/>
              <w:bottom w:w="80" w:type="dxa"/>
              <w:end w:w="100" w:type="dxa"/>
            </w:tcMar>
            <w:vAlign w:val="center"/>
          </w:tcPr>
          <w:p>
            <w:pPr>
              <w:spacing w:after="0" w:line="259" w:lineRule="auto"/>
            </w:pPr>
            <w:r>
              <w:rPr>
                <w:b/>
              </w:rPr>
              <w:t>Version</w:t>
            </w:r>
          </w:p>
        </w:tc>
        <w:tc>
          <w:tcPr>
            <w:tcW w:type="dxa" w:w="5688"/>
            <w:tcMar>
              <w:top w:w="80" w:type="dxa"/>
              <w:start w:w="100" w:type="dxa"/>
              <w:bottom w:w="80" w:type="dxa"/>
              <w:end w:w="100" w:type="dxa"/>
            </w:tcMar>
            <w:vAlign w:val="center"/>
          </w:tcPr>
          <w:p>
            <w:r>
              <w:t>v0.2 (R3 execution-state vocabulary reconciliation)</w:t>
            </w:r>
          </w:p>
        </w:tc>
      </w:tr>
      <w:tr>
        <w:tc>
          <w:tcPr>
            <w:tcW w:type="dxa" w:w="3096"/>
            <w:tcMar>
              <w:top w:w="80" w:type="dxa"/>
              <w:start w:w="100" w:type="dxa"/>
              <w:bottom w:w="80" w:type="dxa"/>
              <w:end w:w="100" w:type="dxa"/>
            </w:tcMar>
            <w:vAlign w:val="center"/>
          </w:tcPr>
          <w:p>
            <w:pPr>
              <w:spacing w:after="0" w:line="259" w:lineRule="auto"/>
            </w:pPr>
            <w:r>
              <w:rPr>
                <w:b/>
              </w:rPr>
              <w:t>Category</w:t>
            </w:r>
          </w:p>
        </w:tc>
        <w:tc>
          <w:tcPr>
            <w:tcW w:type="dxa" w:w="5688"/>
            <w:tcMar>
              <w:top w:w="80" w:type="dxa"/>
              <w:start w:w="100" w:type="dxa"/>
              <w:bottom w:w="80" w:type="dxa"/>
              <w:end w:w="100" w:type="dxa"/>
            </w:tcMar>
            <w:vAlign w:val="center"/>
          </w:tcPr>
          <w:p>
            <w:pPr>
              <w:spacing w:after="0" w:line="259" w:lineRule="auto"/>
            </w:pPr>
            <w:r>
              <w:t>Architecture Supporting</w:t>
            </w:r>
          </w:p>
        </w:tc>
      </w:tr>
      <w:tr>
        <w:tc>
          <w:tcPr>
            <w:tcW w:type="dxa" w:w="3096"/>
            <w:tcMar>
              <w:top w:w="80" w:type="dxa"/>
              <w:start w:w="100" w:type="dxa"/>
              <w:bottom w:w="80" w:type="dxa"/>
              <w:end w:w="100" w:type="dxa"/>
            </w:tcMar>
            <w:vAlign w:val="center"/>
          </w:tcPr>
          <w:p>
            <w:pPr>
              <w:spacing w:after="0" w:line="259" w:lineRule="auto"/>
            </w:pPr>
            <w:r>
              <w:rPr>
                <w:b/>
              </w:rPr>
              <w:t>Type</w:t>
            </w:r>
          </w:p>
        </w:tc>
        <w:tc>
          <w:tcPr>
            <w:tcW w:type="dxa" w:w="5688"/>
            <w:tcMar>
              <w:top w:w="80" w:type="dxa"/>
              <w:start w:w="100" w:type="dxa"/>
              <w:bottom w:w="80" w:type="dxa"/>
              <w:end w:w="100" w:type="dxa"/>
            </w:tcMar>
            <w:vAlign w:val="center"/>
          </w:tcPr>
          <w:p>
            <w:pPr>
              <w:spacing w:after="0" w:line="259" w:lineRule="auto"/>
            </w:pPr>
            <w:r>
              <w:t>New document</w:t>
            </w:r>
          </w:p>
        </w:tc>
      </w:tr>
      <w:tr>
        <w:tc>
          <w:tcPr>
            <w:tcW w:type="dxa" w:w="3096"/>
            <w:tcMar>
              <w:top w:w="80" w:type="dxa"/>
              <w:start w:w="100" w:type="dxa"/>
              <w:bottom w:w="80" w:type="dxa"/>
              <w:end w:w="100" w:type="dxa"/>
            </w:tcMar>
            <w:vAlign w:val="center"/>
          </w:tcPr>
          <w:p>
            <w:pPr>
              <w:spacing w:after="0" w:line="259" w:lineRule="auto"/>
            </w:pPr>
            <w:r>
              <w:rPr>
                <w:b/>
              </w:rPr>
              <w:t>Status</w:t>
            </w:r>
          </w:p>
        </w:tc>
        <w:tc>
          <w:tcPr>
            <w:tcW w:type="dxa" w:w="5688"/>
            <w:tcMar>
              <w:top w:w="80" w:type="dxa"/>
              <w:start w:w="100" w:type="dxa"/>
              <w:bottom w:w="80" w:type="dxa"/>
              <w:end w:w="100" w:type="dxa"/>
            </w:tcMar>
            <w:vAlign w:val="center"/>
          </w:tcPr>
          <w:p>
            <w:r>
              <w:t>Execution-bridge supporting specification — R3 reconciled</w:t>
            </w:r>
          </w:p>
        </w:tc>
      </w:tr>
      <w:tr>
        <w:tc>
          <w:tcPr>
            <w:tcW w:type="dxa" w:w="3096"/>
            <w:tcMar>
              <w:top w:w="80" w:type="dxa"/>
              <w:start w:w="100" w:type="dxa"/>
              <w:bottom w:w="80" w:type="dxa"/>
              <w:end w:w="100" w:type="dxa"/>
            </w:tcMar>
            <w:vAlign w:val="center"/>
          </w:tcPr>
          <w:p>
            <w:pPr>
              <w:spacing w:after="0" w:line="259" w:lineRule="auto"/>
            </w:pPr>
            <w:r>
              <w:rPr>
                <w:b/>
              </w:rPr>
              <w:t>Purpose</w:t>
            </w:r>
          </w:p>
        </w:tc>
        <w:tc>
          <w:tcPr>
            <w:tcW w:type="dxa" w:w="5688"/>
            <w:tcMar>
              <w:top w:w="80" w:type="dxa"/>
              <w:start w:w="100" w:type="dxa"/>
              <w:bottom w:w="80" w:type="dxa"/>
              <w:end w:w="100" w:type="dxa"/>
            </w:tcMar>
            <w:vAlign w:val="center"/>
          </w:tcPr>
          <w:p>
            <w:r>
              <w:t>Define bounded execution-contingent capability revision and adaptive interaction control using the canonical R3 execution vocabulary and upstream-return discipline.</w:t>
            </w:r>
          </w:p>
        </w:tc>
      </w:tr>
    </w:tbl>
    <w:p>
      <w:pPr>
        <w:spacing w:after="40"/>
      </w:pPr>
    </w:p>
    <w:p>
      <w:pPr>
        <w:pStyle w:val="Heading1"/>
      </w:pPr>
      <w:r>
        <w:t>1. Purpose</w:t>
      </w:r>
    </w:p>
    <w:p>
      <w:pPr>
        <w:spacing w:after="120" w:line="269" w:lineRule="auto"/>
      </w:pPr>
      <w:r>
        <w:t>This document defines how the PV–PP framework handles capability revision during execution. It addresses a recurring real-world structure: an agent may possess enough perceived capability to enter an interaction, while the interaction itself reveals additional burden, generates new support, confirms latent competence, exposes hidden infeasibility, or opens a need for staged continuation, assistance, restructuring, or abort.</w:t>
      </w:r>
    </w:p>
    <w:p>
      <w:pPr>
        <w:spacing w:after="120" w:line="269" w:lineRule="auto"/>
      </w:pPr>
      <w:r>
        <w:t>The document therefore formalizes a bounded execution bridge between selected policy and realized state transition. It does not redefine memory, expectation-state, adequacy, selection, or Layer 1 transition semantics. It defines what may happen after ε instantiates the selected policy and before the realized execution consequences are handed to Layer 1.</w:t>
      </w:r>
    </w:p>
    <w:p>
      <w:pPr>
        <w:pStyle w:val="Heading1"/>
      </w:pPr>
      <w:r>
        <w:t>2. Problem Statement</w:t>
      </w:r>
    </w:p>
    <w:p>
      <w:pPr>
        <w:spacing w:after="120" w:line="269" w:lineRule="auto"/>
      </w:pPr>
      <w:r>
        <w:t>The current architecture already distinguishes PP from PPP and already places state transition after execution. But without a sharper execution-side discipline, the framework remains too brittle. It risks treating all relevant sufficiency judgment as if it were settled before interaction begins.</w:t>
      </w:r>
    </w:p>
    <w:p>
      <w:pPr>
        <w:spacing w:after="120" w:line="269" w:lineRule="auto"/>
      </w:pPr>
      <w:r>
        <w:t>That is wrong for a large class of real policies. Many interactions are entered under provisional sufficiency. The agent has enough to start, but not enough to know in advance whether completion will require: additional learning, partial tool discovery, pacing changes, external help, burden reduction, policy branching, or abort.</w:t>
      </w:r>
    </w:p>
    <w:p>
      <w:pPr>
        <w:spacing w:after="120" w:line="269" w:lineRule="auto"/>
      </w:pPr>
      <w:r>
        <w:t>The framework therefore needs an explicit treatment of execution-contingent capability revision.</w:t>
      </w:r>
    </w:p>
    <w:p>
      <w:pPr>
        <w:pStyle w:val="Heading1"/>
      </w:pPr>
      <w:r>
        <w:t>3. Core Principle</w:t>
      </w:r>
    </w:p>
    <w:p>
      <w:pPr>
        <w:spacing w:after="120" w:line="269" w:lineRule="auto"/>
      </w:pPr>
      <w:r>
        <w:t>Entry sufficiency is not the same as guaranteed completion sufficiency under unchanged conditions.</w:t>
      </w:r>
    </w:p>
    <w:p>
      <w:pPr>
        <w:spacing w:after="120" w:line="269" w:lineRule="auto"/>
      </w:pPr>
      <w:r>
        <w:t>A selected policy may be structurally admissible because the agent has enough present capability to enter an interaction whose execution may itself: generate productive value, generate information, recruit support, reveal hidden requirements, or expose hidden deficits.</w:t>
      </w:r>
    </w:p>
    <w:p>
      <w:pPr>
        <w:spacing w:after="120" w:line="269" w:lineRule="auto"/>
      </w:pPr>
      <w:r>
        <w:t>Execution is therefore neither a black box nor an unrestricted improvisation zone. It is a bounded adaptive interval governed by explicit triggers, explicit continuation classes, and explicit return conditions.</w:t>
      </w:r>
    </w:p>
    <w:p>
      <w:pPr>
        <w:pStyle w:val="Heading1"/>
      </w:pPr>
      <w:r>
        <w:t>4. Architectural Position</w:t>
      </w:r>
    </w:p>
    <w:p>
      <w:pPr>
        <w:spacing w:after="120" w:line="269" w:lineRule="auto"/>
      </w:pPr>
      <w:r>
        <w:t>This specification sits at the execution bridge between downstream selection and Layer 1 transition realization. The relevant ordering is:</w:t>
      </w:r>
    </w:p>
    <w:p>
      <w:pPr>
        <w:spacing w:after="120" w:line="269" w:lineRule="auto"/>
      </w:pPr>
      <w:r>
        <w:t>P_I(t) → Φ → H → G → ℛ → Graph Layer / seed substrate → Π → Π completeness validation → Constraints → Domain Framing → Adequacy → Σ → ε → x_exec(t) → E_exec(t,τ) / bounded execution monitoring → ExecPath(t), status_exec(t), B_real(t), info_exec(t) → Layer 1 transition S_i(t+1).</w:t>
      </w:r>
    </w:p>
    <w:p>
      <w:pPr>
        <w:spacing w:after="120" w:line="269" w:lineRule="auto"/>
      </w:pPr>
      <w:r>
        <w:t>This means the document does not reopen upstream candidate construction, feasibility, framing, adequacy, or selection logic. It governs bounded execution after Σ has selected π*(t) and ε has instantiated the execution episode. It does not create a separate canonical “executable policy” object and does not perform the Layer 1 state transition.</w:t>
      </w:r>
    </w:p>
    <w:p>
      <w:pPr>
        <w:pStyle w:val="Heading1"/>
      </w:pPr>
      <w:r>
        <w:t>5. Core Objects</w:t>
      </w:r>
    </w:p>
    <w:p>
      <w:pPr>
        <w:spacing w:after="120" w:line="269" w:lineRule="auto"/>
      </w:pPr>
      <w:r>
        <w:t>5.1 Selected policy π*(t). The policy selected by Σ for execution under the current decision cycle. It is a selected policy corridor, not yet a physical action, realized interaction, or PV transfer.</w:t>
      </w:r>
    </w:p>
    <w:p>
      <w:pPr>
        <w:spacing w:after="120" w:line="269" w:lineRule="auto"/>
      </w:pPr>
      <w:r>
        <w:t>5.2 Instantiated interaction x_exec(t). The concrete execution episode generated by ε from π*(t), including task structure, environmental conditions, counterparties if any, tools, and local support conditions.</w:t>
      </w:r>
    </w:p>
    <w:p>
      <w:pPr>
        <w:spacing w:after="120" w:line="269" w:lineRule="auto"/>
      </w:pPr>
      <w:r>
        <w:t>5.3 Execution state E_exec(t,τ). A bounded within-interaction state that tracks revealed burden, partial progress, support status, local resource depletion, informational gain, capability revision, and licensed local adaptation as execution unfolds over sub-interval τ.</w:t>
      </w:r>
    </w:p>
    <w:p>
      <w:pPr>
        <w:spacing w:after="120" w:line="269" w:lineRule="auto"/>
      </w:pPr>
      <w:r>
        <w:t>5.4 Realized execution path ExecPath(t), execution status status_exec(t), realized PV bundle B_real(t), and execution-generated information info_exec(t). ExecPath records what actually occurred inside the licensed corridor; status_exec classifies execution posture/outcome; B_real is the final or staged productive-value consequence bundle or sequence; info_exec records execution-generated information available to authorized update surfaces. These objects must not be used interchangeably.</w:t>
      </w:r>
    </w:p>
    <w:p>
      <w:pPr>
        <w:pStyle w:val="Heading1"/>
      </w:pPr>
      <w:r>
        <w:t>6. Entry Sufficiency</w:t>
      </w:r>
    </w:p>
    <w:p>
      <w:pPr>
        <w:spacing w:after="120" w:line="269" w:lineRule="auto"/>
      </w:pPr>
      <w:r>
        <w:t>Entry sufficiency is the condition that permits interaction initiation. It is weaker than guaranteed completion sufficiency.</w:t>
      </w:r>
    </w:p>
    <w:p>
      <w:pPr>
        <w:spacing w:after="120" w:line="269" w:lineRule="auto"/>
      </w:pPr>
      <w:r>
        <w:t>An interaction may be entered when the agent has enough current perceived capability to begin a bounded execution corridor under current constraints, even if later continuation depends on what execution reveals.</w:t>
      </w:r>
    </w:p>
    <w:p>
      <w:pPr>
        <w:spacing w:after="120" w:line="269" w:lineRule="auto"/>
      </w:pPr>
      <w:r>
        <w:t>Entry sufficiency may therefore include cases where the agent expects one or more of the following to occur during execution: skill confirmation, information acquisition, manageable pacing adjustment, local workaround discovery, support recruitment, or task decomposition into stages.</w:t>
      </w:r>
    </w:p>
    <w:p>
      <w:pPr>
        <w:pStyle w:val="Heading1"/>
      </w:pPr>
      <w:r>
        <w:t>7. Execution-Contingent Capability Revision</w:t>
      </w:r>
    </w:p>
    <w:p>
      <w:pPr>
        <w:spacing w:after="120" w:line="269" w:lineRule="auto"/>
      </w:pPr>
      <w:r>
        <w:t>Execution-contingent capability revision is revision of operative capability judgment during an active instantiated interaction as new information, burden, support, or task structure becomes visible. It occurs inside E_exec(t,τ) and may affect the licensed execution path without becoming a new policy-selection process.</w:t>
      </w:r>
    </w:p>
    <w:p>
      <w:pPr>
        <w:spacing w:after="120" w:line="269" w:lineRule="auto"/>
      </w:pPr>
      <w:r>
        <w:t>Capability revision may be positive, negative, or mixed.</w:t>
      </w:r>
    </w:p>
    <w:p>
      <w:pPr>
        <w:spacing w:after="120" w:line="269" w:lineRule="auto"/>
      </w:pPr>
      <w:r>
        <w:t>Positive revision includes cases such as: task easier than feared, latent competence confirmed, informational resource found, partner help obtained, or staged completion shown feasible.</w:t>
      </w:r>
    </w:p>
    <w:p>
      <w:pPr>
        <w:spacing w:after="120" w:line="269" w:lineRule="auto"/>
      </w:pPr>
      <w:r>
        <w:t>Negative revision includes cases such as: hidden burden discovered, tool deficit exposed, fatigue higher than expected, pain or cost spike revealed, counterparties fail, or continuation becomes infeasible under current structure.</w:t>
      </w:r>
    </w:p>
    <w:p>
      <w:pPr>
        <w:pStyle w:val="Heading1"/>
      </w:pPr>
      <w:r>
        <w:t>8. Permitted Revision Surfaces During Execution</w:t>
      </w:r>
    </w:p>
    <w:p>
      <w:pPr>
        <w:spacing w:after="120" w:line="269" w:lineRule="auto"/>
      </w:pPr>
      <w:r>
        <w:t>8.1 Local capability estimate. The agent may revise what it can presently do, sustain, or tolerate inside the active interaction.</w:t>
      </w:r>
    </w:p>
    <w:p>
      <w:pPr>
        <w:spacing w:after="120" w:line="269" w:lineRule="auto"/>
      </w:pPr>
      <w:r>
        <w:t>8.2 Task decomposition. The interaction may be re-read as one-shot, assisted, staged, or abort-worthy rather than as a single atomic act.</w:t>
      </w:r>
    </w:p>
    <w:p>
      <w:pPr>
        <w:spacing w:after="120" w:line="269" w:lineRule="auto"/>
      </w:pPr>
      <w:r>
        <w:t>8.3 Support structure. The agent may discover that completion requires a helper, new tool, extra time, additional money, or alternate mechanism.</w:t>
      </w:r>
    </w:p>
    <w:p>
      <w:pPr>
        <w:spacing w:after="120" w:line="269" w:lineRule="auto"/>
      </w:pPr>
      <w:r>
        <w:t>8.4 Burden and recovery cost. The agent may discover that the immediate task is feasible but broader recovery cost is too high, or vice versa.</w:t>
      </w:r>
    </w:p>
    <w:p>
      <w:pPr>
        <w:spacing w:after="120" w:line="269" w:lineRule="auto"/>
      </w:pPr>
      <w:r>
        <w:t>8.5 Informational state. The interaction may generate evidence that updates not only present execution judgment but later memory or expectation-state.</w:t>
      </w:r>
    </w:p>
    <w:p>
      <w:pPr>
        <w:pStyle w:val="Heading1"/>
      </w:pPr>
      <w:r>
        <w:t>9. Execution Trigger Classes</w:t>
      </w:r>
    </w:p>
    <w:p>
      <w:pPr>
        <w:spacing w:after="120" w:line="269" w:lineRule="auto"/>
      </w:pPr>
      <w:r>
        <w:t>The following trigger classes license bounded mid-execution revision:</w:t>
      </w:r>
    </w:p>
    <w:p>
      <w:pPr>
        <w:spacing w:after="120" w:line="269" w:lineRule="auto"/>
      </w:pPr>
      <w:r>
        <w:t>9.1 Hidden-requirement trigger — a previously unseen requirement appears, such as an extra tool, helper, or access condition.</w:t>
      </w:r>
    </w:p>
    <w:p>
      <w:pPr>
        <w:spacing w:after="120" w:line="269" w:lineRule="auto"/>
      </w:pPr>
      <w:r>
        <w:t>9.2 Hidden-burden trigger — fatigue, pain, time cost, money cost, or coordination burden is revealed as materially worse than expected.</w:t>
      </w:r>
    </w:p>
    <w:p>
      <w:pPr>
        <w:spacing w:after="120" w:line="269" w:lineRule="auto"/>
      </w:pPr>
      <w:r>
        <w:t>9.3 Latent-competence trigger — the task proves more manageable than expected, confirming previously uncertain capability.</w:t>
      </w:r>
    </w:p>
    <w:p>
      <w:pPr>
        <w:spacing w:after="120" w:line="269" w:lineRule="auto"/>
      </w:pPr>
      <w:r>
        <w:t>9.4 Support-opportunity trigger — assistance, substitute mechanism, or local workaround becomes available during execution.</w:t>
      </w:r>
    </w:p>
    <w:p>
      <w:pPr>
        <w:spacing w:after="120" w:line="269" w:lineRule="auto"/>
      </w:pPr>
      <w:r>
        <w:t>9.5 Environmental-change trigger — weather, counterparties, institutional channels, or resource conditions shift during execution.</w:t>
      </w:r>
    </w:p>
    <w:p>
      <w:pPr>
        <w:spacing w:after="120" w:line="269" w:lineRule="auto"/>
      </w:pPr>
      <w:r>
        <w:t>9.6 Safety or viability trigger — continuation threatens a governing domain or makes recovery cost structurally unacceptable.</w:t>
      </w:r>
    </w:p>
    <w:p>
      <w:pPr>
        <w:pStyle w:val="Heading1"/>
      </w:pPr>
      <w:r>
        <w:t>10. Allowed Execution Responses</w:t>
      </w:r>
    </w:p>
    <w:p>
      <w:pPr>
        <w:spacing w:after="120" w:line="269" w:lineRule="auto"/>
      </w:pPr>
      <w:r>
        <w:t>When an execution trigger fires, the framework allows only bounded response classes:</w:t>
      </w:r>
    </w:p>
    <w:p>
      <w:pPr>
        <w:spacing w:after="120" w:line="269" w:lineRule="auto"/>
      </w:pPr>
      <w:r>
        <w:t>10.1 Continue unchanged.</w:t>
      </w:r>
    </w:p>
    <w:p>
      <w:pPr>
        <w:spacing w:after="120" w:line="269" w:lineRule="auto"/>
      </w:pPr>
      <w:r>
        <w:t>10.2 Continue with local adaptation, such as slower pacing, tool substitution, or reordered substeps.</w:t>
      </w:r>
    </w:p>
    <w:p>
      <w:pPr>
        <w:spacing w:after="120" w:line="269" w:lineRule="auto"/>
      </w:pPr>
      <w:r>
        <w:t>10.3 Continue with assistance, such as recruiting a helper or obtaining missing support.</w:t>
      </w:r>
    </w:p>
    <w:p>
      <w:pPr>
        <w:spacing w:after="120" w:line="269" w:lineRule="auto"/>
      </w:pPr>
      <w:r>
        <w:t>10.4 Convert to staged execution, where the interaction is decomposed across time rather than completed in one interval.</w:t>
      </w:r>
    </w:p>
    <w:p>
      <w:pPr>
        <w:spacing w:after="120" w:line="269" w:lineRule="auto"/>
      </w:pPr>
      <w:r>
        <w:t>10.5 Restructure within the licensed policy corridor into a substitute execution path, where the preserved function is maintained through a different mechanism already permitted by π*(t). If the substitute mechanism constitutes a material change of policy class, execution must abort/return upstream for re-evaluation rather than silently selecting the substitute.</w:t>
      </w:r>
    </w:p>
    <w:p>
      <w:pPr>
        <w:spacing w:after="120" w:line="269" w:lineRule="auto"/>
      </w:pPr>
      <w:r>
        <w:t>10.6 Abort and return upstream, where the interaction no longer remains licensed under current conditions or continuation would require a material policy-class change.</w:t>
      </w:r>
    </w:p>
    <w:p>
      <w:pPr>
        <w:spacing w:after="120" w:line="269" w:lineRule="auto"/>
      </w:pPr>
      <w:r>
        <w:t>10.7 Emit an emergency-return condition where current execution exposes immediate governing risk. ε/execution control may terminate or return with emergency status, but it does not autonomously select a fallback or emergency policy; any new policy selection belongs upstream.</w:t>
      </w:r>
    </w:p>
    <w:p>
      <w:pPr>
        <w:pStyle w:val="Heading1"/>
      </w:pPr>
      <w:r>
        <w:t>11. Hard Boundary Rules</w:t>
      </w:r>
    </w:p>
    <w:p>
      <w:pPr>
        <w:spacing w:after="120" w:line="269" w:lineRule="auto"/>
      </w:pPr>
      <w:r>
        <w:t>This execution bridge must not become an excuse for unlimited improvisation. Bounded adaptation may alter pacing, sequencing, assistance uptake, staging, tool use, or other execution details already licensed by the selected policy corridor. It may not silently replace π*(t) with a materially different policy class.</w:t>
      </w:r>
    </w:p>
    <w:p>
      <w:pPr>
        <w:spacing w:after="120" w:line="269" w:lineRule="auto"/>
      </w:pPr>
      <w:r>
        <w:t>The following are prohibited:</w:t>
      </w:r>
    </w:p>
    <w:p>
      <w:pPr>
        <w:pStyle w:val="ListBullet"/>
        <w:spacing w:after="120" w:line="269" w:lineRule="auto"/>
      </w:pPr>
      <w:r>
        <w:t>treating every mid-execution wish as new feasibility</w:t>
      </w:r>
    </w:p>
    <w:p>
      <w:pPr>
        <w:pStyle w:val="ListBullet"/>
        <w:spacing w:after="120" w:line="269" w:lineRule="auto"/>
      </w:pPr>
      <w:r>
        <w:t>silently converting failed execution into successful execution by narration alone</w:t>
      </w:r>
    </w:p>
    <w:p>
      <w:pPr>
        <w:pStyle w:val="ListBullet"/>
        <w:spacing w:after="120" w:line="269" w:lineRule="auto"/>
      </w:pPr>
      <w:r>
        <w:t>using execution adaptation to erase upstream framing or adequacy errors</w:t>
      </w:r>
    </w:p>
    <w:p>
      <w:pPr>
        <w:pStyle w:val="ListBullet"/>
        <w:spacing w:after="120" w:line="269" w:lineRule="auto"/>
      </w:pPr>
      <w:r>
        <w:t>treating hoped-for later help as if already present support</w:t>
      </w:r>
    </w:p>
    <w:p>
      <w:pPr>
        <w:pStyle w:val="ListBullet"/>
        <w:spacing w:after="120" w:line="269" w:lineRule="auto"/>
      </w:pPr>
      <w:r>
        <w:t>laundering a structurally failing interaction into adequacy by repeated local delay when no real corridor exists.</w:t>
      </w:r>
    </w:p>
    <w:p>
      <w:pPr>
        <w:pStyle w:val="Heading1"/>
      </w:pPr>
      <w:r>
        <w:t>11A. R3 Vocabulary and Authority Boundary</w:t>
      </w:r>
    </w:p>
    <w:p>
      <w:r>
        <w:t>This supporting specification adopts the execution vocabulary owned at the upstream handoff by the Realization Operator ε v1.6: π*(t) is the selected policy; x_exec(t) is the instantiated interaction/execution; E_exec(t,τ) is bounded within-execution state; ExecPath(t) is the realized execution path; status_exec(t) is the auditable execution-status classification; B_real(t) is the realized PV consequence bundle or staged sequence; and info_exec(t) is execution-generated information. Layer 1 alone owns the ontological update of actual persistent state S_i(t+1). This document supports bounded monitoring and revision inside that chain; it does not create competing meanings for those objects.</w:t>
      </w:r>
    </w:p>
    <w:p>
      <w:pPr>
        <w:pStyle w:val="Heading1"/>
      </w:pPr>
      <w:r>
        <w:t>12. Relationship to Adequacy</w:t>
      </w:r>
    </w:p>
    <w:p>
      <w:pPr>
        <w:spacing w:after="120" w:line="269" w:lineRule="auto"/>
      </w:pPr>
      <w:r>
        <w:t>Execution-side adaptation does not redefine adequacy. Adequacy remains the upstream test of whether a policy opens a real recovery corridor relative to the framed preservation target. Execution may reveal that the selected corridor no longer remains licensed, but it may not repair that failure by inventing a new policy class downstream.</w:t>
      </w:r>
    </w:p>
    <w:p>
      <w:pPr>
        <w:spacing w:after="120" w:line="269" w:lineRule="auto"/>
      </w:pPr>
      <w:r>
        <w:t>However, some policies are properly understood as admissible because they enter a bounded execution corridor in which bridge viability, assistance, or staged completion is expected to be resolved during execution rather than fully before it begins.</w:t>
      </w:r>
    </w:p>
    <w:p>
      <w:pPr>
        <w:spacing w:after="120" w:line="269" w:lineRule="auto"/>
      </w:pPr>
      <w:r>
        <w:t>This means the framework must distinguish between:</w:t>
      </w:r>
    </w:p>
    <w:p>
      <w:pPr>
        <w:pStyle w:val="ListBullet"/>
        <w:spacing w:after="120" w:line="269" w:lineRule="auto"/>
      </w:pPr>
      <w:r>
        <w:t>fake corridor claims based on unlicensed optimism, and</w:t>
      </w:r>
    </w:p>
    <w:p>
      <w:pPr>
        <w:pStyle w:val="ListBullet"/>
        <w:spacing w:after="120" w:line="269" w:lineRule="auto"/>
      </w:pPr>
      <w:r>
        <w:t>legitimate corridor entry where bounded execution-contingent revision is part of the policy’s real structure.</w:t>
      </w:r>
    </w:p>
    <w:p>
      <w:pPr>
        <w:pStyle w:val="Heading1"/>
      </w:pPr>
      <w:r>
        <w:t>13. Relationship to Memory and Expectation-State</w:t>
      </w:r>
    </w:p>
    <w:p>
      <w:pPr>
        <w:spacing w:after="120" w:line="269" w:lineRule="auto"/>
      </w:pPr>
      <w:r>
        <w:t>This document is independent of the memory workstream in its primary purpose, but it interacts with it at update time.</w:t>
      </w:r>
    </w:p>
    <w:p>
      <w:pPr>
        <w:spacing w:after="120" w:line="269" w:lineRule="auto"/>
      </w:pPr>
      <w:r>
        <w:t>Execution may generate:</w:t>
      </w:r>
    </w:p>
    <w:p>
      <w:pPr>
        <w:pStyle w:val="ListBullet"/>
        <w:spacing w:after="120" w:line="269" w:lineRule="auto"/>
      </w:pPr>
      <w:r>
        <w:t>memory-worthy episodes, such as hidden requirements, failed help, or successful workaround discovery, and</w:t>
      </w:r>
    </w:p>
    <w:p>
      <w:pPr>
        <w:pStyle w:val="ListBullet"/>
        <w:spacing w:after="120" w:line="269" w:lineRule="auto"/>
      </w:pPr>
      <w:r>
        <w:t>expectation-worthy learning, such as revised forecast about fatigue tolerance, partner reliability, or task difficulty.</w:t>
      </w:r>
    </w:p>
    <w:p>
      <w:pPr>
        <w:spacing w:after="120" w:line="269" w:lineRule="auto"/>
      </w:pPr>
      <w:r>
        <w:t>A single execution episode may therefore update both Mᵢ(t+1) and Kᵢ(t+1), but execution-contingent revision itself is not reducible to either memory or expectation-state.</w:t>
      </w:r>
    </w:p>
    <w:p>
      <w:pPr>
        <w:pStyle w:val="Heading1"/>
      </w:pPr>
      <w:r>
        <w:t>14. Canonical Examples</w:t>
      </w:r>
    </w:p>
    <w:p>
      <w:pPr>
        <w:spacing w:after="120" w:line="269" w:lineRule="auto"/>
      </w:pPr>
      <w:r>
        <w:t>14.1 Self-repair example. An agent chooses to replace a lawnmower starter because shop delay is unacceptable. Entry sufficiency is present, but completion sufficiency is uncertain. During execution, the agent discovers the repair is within reach but requires an extra helper. The policy legitimately converts from solo execution to assisted execution without invalidating the original entry judgment.</w:t>
      </w:r>
    </w:p>
    <w:p>
      <w:pPr>
        <w:spacing w:after="120" w:line="269" w:lineRule="auto"/>
      </w:pPr>
      <w:r>
        <w:t>14.2 Fatigue-limited yard work. An agent begins hedge trimming expecting completion in one session. During execution, pain and fatigue reveal hidden burden. If staged execution was licensed within the selected policy corridor, the execution may validly convert to staged completion across several days. Outsourcing, however, is a materially different policy class unless it was already licensed as part of the selected corridor; otherwise execution must abort/return upstream for re-evaluation.</w:t>
      </w:r>
    </w:p>
    <w:p>
      <w:pPr>
        <w:spacing w:after="120" w:line="269" w:lineRule="auto"/>
      </w:pPr>
      <w:r>
        <w:t>14.3 False optimistic overreach. An agent begins a repair expecting that unspecified future help or undefined improvisation will solve missing requirements. If no bounded trigger, no reachable support, and no staged corridor exists, then the execution path was not legitimately adaptive; it was under-specified wishful execution.</w:t>
      </w:r>
    </w:p>
    <w:p>
      <w:pPr>
        <w:pStyle w:val="Heading1"/>
      </w:pPr>
      <w:r>
        <w:t>15. Minimal Formal Direction</w:t>
      </w:r>
    </w:p>
    <w:p>
      <w:pPr>
        <w:spacing w:after="60" w:line="252" w:lineRule="auto"/>
      </w:pPr>
      <w:r>
        <w:t>A future formalization may define a bounded execution monitor such as:</w:t>
      </w:r>
    </w:p>
    <w:p>
      <w:pPr>
        <w:spacing w:after="60" w:line="252" w:lineRule="auto"/>
      </w:pPr>
      <w:r>
        <w:t>E_exec(t,τ+1) = X_exec(E_exec(t,τ), obs_exec(t,τ), support_exec(t,τ), burden_exec(t,τ))</w:t>
      </w:r>
    </w:p>
    <w:p>
      <w:pPr>
        <w:spacing w:after="60" w:line="252" w:lineRule="auto"/>
      </w:pPr>
      <w:r>
        <w:t>with a response map ρ_exec that selects only among licensed execution responses such as continuation, assistance, staging, bounded restructuring, abort, or emergency return based on explicit trigger conditions. ρ_exec is not a policy selector: a material policy-class change returns upstream.</w:t>
      </w:r>
    </w:p>
    <w:p>
      <w:pPr>
        <w:spacing w:after="60" w:line="252" w:lineRule="auto"/>
      </w:pPr>
      <w:r>
        <w:t>This supporting specification does not lock the final mathematics. It fixes the structural requirement that execution is monitored, revisable, and bounded.</w:t>
      </w:r>
    </w:p>
    <w:p>
      <w:pPr>
        <w:pStyle w:val="Heading1"/>
        <w:spacing w:after="60" w:line="252" w:lineRule="auto"/>
      </w:pPr>
      <w:r>
        <w:t>16. Structural Summary</w:t>
      </w:r>
    </w:p>
    <w:p>
      <w:pPr>
        <w:spacing w:after="60" w:line="252" w:lineRule="auto"/>
      </w:pPr>
      <w:r>
        <w:t>The framework now needs an explicit execution bridge because many real actions are entered under provisional sufficiency rather than fully known completion sufficiency.</w:t>
      </w:r>
    </w:p>
    <w:p>
      <w:pPr>
        <w:spacing w:after="60" w:line="252" w:lineRule="auto"/>
      </w:pPr>
      <w:r>
        <w:t>The correct architectural move is not to force every policy to be fully settled before execution, and not to permit unbounded improvisation after execution begins. The correct middle position is bounded execution-contingent capability revision under explicit triggers, explicit response classes, and explicit return conditions. The selected policy remains authoritative unless and until execution aborts/returns upstream.</w:t>
      </w:r>
    </w:p>
    <w:p>
      <w:pPr>
        <w:spacing w:after="60" w:line="252" w:lineRule="auto"/>
      </w:pPr>
      <w:r>
        <w:t>That is the function of this document.</w:t>
      </w:r>
    </w:p>
    <w:p>
      <w:pPr>
        <w:pStyle w:val="Heading1"/>
        <w:spacing w:before="80" w:after="60" w:line="252" w:lineRule="auto"/>
      </w:pPr>
      <w:r>
        <w:t>Appendix A — Distinction Table</w:t>
      </w:r>
    </w:p>
    <w:p>
      <w:pPr>
        <w:spacing w:after="60" w:line="252" w:lineRule="auto"/>
      </w:pPr>
      <w:r>
        <w:t>Minimum distinctions the execution bridge must preserve.</w:t>
      </w:r>
    </w:p>
    <w:tbl>
      <w:tblPr>
        <w:tblStyle w:val="TableGrid"/>
        <w:tblW w:type="auto" w:w="0"/>
        <w:jc w:val="center"/>
        <w:tblLook w:firstColumn="1" w:firstRow="1" w:lastColumn="0" w:lastRow="0" w:noHBand="0" w:noVBand="1" w:val="04A0"/>
      </w:tblPr>
      <w:tblGrid>
        <w:gridCol w:w="3216"/>
        <w:gridCol w:w="3216"/>
        <w:gridCol w:w="3216"/>
      </w:tblGrid>
      <w:tr>
        <w:tc>
          <w:tcPr>
            <w:tcW w:type="dxa" w:w="2880"/>
            <w:tcMar>
              <w:top w:w="90" w:type="dxa"/>
              <w:start w:w="110" w:type="dxa"/>
              <w:bottom w:w="90" w:type="dxa"/>
              <w:end w:w="110" w:type="dxa"/>
            </w:tcMar>
            <w:vAlign w:val="center"/>
          </w:tcPr>
          <w:p>
            <w:pPr>
              <w:spacing w:after="0" w:line="240" w:lineRule="auto"/>
              <w:jc w:val="center"/>
            </w:pPr>
            <w:r>
              <w:rPr>
                <w:b/>
                <w:sz w:val="19"/>
              </w:rPr>
              <w:t>Question</w:t>
            </w:r>
          </w:p>
        </w:tc>
        <w:tc>
          <w:tcPr>
            <w:tcW w:type="dxa" w:w="3384"/>
            <w:tcMar>
              <w:top w:w="90" w:type="dxa"/>
              <w:start w:w="110" w:type="dxa"/>
              <w:bottom w:w="90" w:type="dxa"/>
              <w:end w:w="110" w:type="dxa"/>
            </w:tcMar>
            <w:vAlign w:val="center"/>
          </w:tcPr>
          <w:p>
            <w:pPr>
              <w:spacing w:after="0" w:line="240" w:lineRule="auto"/>
              <w:jc w:val="center"/>
            </w:pPr>
            <w:r>
              <w:rPr>
                <w:b/>
                <w:sz w:val="19"/>
              </w:rPr>
              <w:t>Correct category</w:t>
            </w:r>
          </w:p>
        </w:tc>
        <w:tc>
          <w:tcPr>
            <w:tcW w:type="dxa" w:w="3096"/>
            <w:tcMar>
              <w:top w:w="90" w:type="dxa"/>
              <w:start w:w="110" w:type="dxa"/>
              <w:bottom w:w="90" w:type="dxa"/>
              <w:end w:w="110" w:type="dxa"/>
            </w:tcMar>
            <w:vAlign w:val="center"/>
          </w:tcPr>
          <w:p>
            <w:pPr>
              <w:spacing w:after="0" w:line="240" w:lineRule="auto"/>
              <w:jc w:val="center"/>
            </w:pPr>
            <w:r>
              <w:rPr>
                <w:b/>
                <w:sz w:val="19"/>
              </w:rPr>
              <w:t>Must not be confused with</w:t>
            </w:r>
          </w:p>
        </w:tc>
      </w:tr>
      <w:tr>
        <w:tc>
          <w:tcPr>
            <w:tcW w:type="dxa" w:w="3216"/>
            <w:vAlign w:val="center"/>
            <w:tcMar>
              <w:top w:w="90" w:type="dxa"/>
              <w:start w:w="110" w:type="dxa"/>
              <w:bottom w:w="90" w:type="dxa"/>
              <w:end w:w="110" w:type="dxa"/>
            </w:tcMar>
          </w:tcPr>
          <w:p>
            <w:pPr>
              <w:spacing w:after="0" w:line="240" w:lineRule="auto"/>
              <w:jc w:val="left"/>
            </w:pPr>
            <w:r>
              <w:rPr>
                <w:sz w:val="19"/>
              </w:rPr>
              <w:t>Can I start this now?</w:t>
            </w:r>
          </w:p>
        </w:tc>
        <w:tc>
          <w:tcPr>
            <w:tcW w:type="dxa" w:w="3216"/>
            <w:vAlign w:val="center"/>
            <w:tcMar>
              <w:top w:w="90" w:type="dxa"/>
              <w:start w:w="110" w:type="dxa"/>
              <w:bottom w:w="90" w:type="dxa"/>
              <w:end w:w="110" w:type="dxa"/>
            </w:tcMar>
          </w:tcPr>
          <w:p>
            <w:pPr>
              <w:spacing w:after="0" w:line="240" w:lineRule="auto"/>
              <w:jc w:val="center"/>
            </w:pPr>
            <w:r>
              <w:rPr>
                <w:sz w:val="19"/>
              </w:rPr>
              <w:t>Entry sufficiency</w:t>
            </w:r>
          </w:p>
        </w:tc>
        <w:tc>
          <w:tcPr>
            <w:tcW w:type="dxa" w:w="3216"/>
            <w:vAlign w:val="center"/>
            <w:tcMar>
              <w:top w:w="90" w:type="dxa"/>
              <w:start w:w="110" w:type="dxa"/>
              <w:bottom w:w="90" w:type="dxa"/>
              <w:end w:w="110" w:type="dxa"/>
            </w:tcMar>
          </w:tcPr>
          <w:p>
            <w:pPr>
              <w:spacing w:after="0" w:line="240" w:lineRule="auto"/>
              <w:jc w:val="left"/>
            </w:pPr>
            <w:r>
              <w:rPr>
                <w:sz w:val="19"/>
              </w:rPr>
              <w:t>Guaranteed completion sufficiency</w:t>
            </w:r>
          </w:p>
        </w:tc>
      </w:tr>
      <w:tr>
        <w:tc>
          <w:tcPr>
            <w:tcW w:type="dxa" w:w="3216"/>
            <w:vAlign w:val="center"/>
            <w:tcMar>
              <w:top w:w="90" w:type="dxa"/>
              <w:start w:w="110" w:type="dxa"/>
              <w:bottom w:w="90" w:type="dxa"/>
              <w:end w:w="110" w:type="dxa"/>
            </w:tcMar>
          </w:tcPr>
          <w:p>
            <w:pPr>
              <w:spacing w:after="0" w:line="240" w:lineRule="auto"/>
              <w:jc w:val="left"/>
            </w:pPr>
            <w:r>
              <w:rPr>
                <w:sz w:val="19"/>
              </w:rPr>
              <w:t>Can I keep going once hidden demands appear?</w:t>
            </w:r>
          </w:p>
        </w:tc>
        <w:tc>
          <w:tcPr>
            <w:tcW w:type="dxa" w:w="3216"/>
            <w:vAlign w:val="center"/>
            <w:tcMar>
              <w:top w:w="90" w:type="dxa"/>
              <w:start w:w="110" w:type="dxa"/>
              <w:bottom w:w="90" w:type="dxa"/>
              <w:end w:w="110" w:type="dxa"/>
            </w:tcMar>
          </w:tcPr>
          <w:p>
            <w:pPr>
              <w:spacing w:after="0" w:line="240" w:lineRule="auto"/>
              <w:jc w:val="center"/>
            </w:pPr>
            <w:r>
              <w:rPr>
                <w:sz w:val="19"/>
              </w:rPr>
              <w:t>Continuation sufficiency</w:t>
            </w:r>
          </w:p>
        </w:tc>
        <w:tc>
          <w:tcPr>
            <w:tcW w:type="dxa" w:w="3216"/>
            <w:vAlign w:val="center"/>
            <w:tcMar>
              <w:top w:w="90" w:type="dxa"/>
              <w:start w:w="110" w:type="dxa"/>
              <w:bottom w:w="90" w:type="dxa"/>
              <w:end w:w="110" w:type="dxa"/>
            </w:tcMar>
          </w:tcPr>
          <w:p>
            <w:pPr>
              <w:spacing w:after="0" w:line="240" w:lineRule="auto"/>
              <w:jc w:val="left"/>
            </w:pPr>
            <w:r>
              <w:rPr>
                <w:sz w:val="19"/>
              </w:rPr>
              <w:t>Initial willingness alone</w:t>
            </w:r>
          </w:p>
        </w:tc>
      </w:tr>
      <w:tr>
        <w:tc>
          <w:tcPr>
            <w:tcW w:type="dxa" w:w="3216"/>
            <w:vAlign w:val="center"/>
            <w:tcMar>
              <w:top w:w="90" w:type="dxa"/>
              <w:start w:w="110" w:type="dxa"/>
              <w:bottom w:w="90" w:type="dxa"/>
              <w:end w:w="110" w:type="dxa"/>
            </w:tcMar>
          </w:tcPr>
          <w:p>
            <w:pPr>
              <w:spacing w:after="0" w:line="240" w:lineRule="auto"/>
              <w:jc w:val="left"/>
            </w:pPr>
            <w:r>
              <w:rPr>
                <w:sz w:val="19"/>
              </w:rPr>
              <w:t>Can I finish it only with help or pacing change?</w:t>
            </w:r>
          </w:p>
        </w:tc>
        <w:tc>
          <w:tcPr>
            <w:tcW w:type="dxa" w:w="3216"/>
            <w:vAlign w:val="center"/>
            <w:tcMar>
              <w:top w:w="90" w:type="dxa"/>
              <w:start w:w="110" w:type="dxa"/>
              <w:bottom w:w="90" w:type="dxa"/>
              <w:end w:w="110" w:type="dxa"/>
            </w:tcMar>
          </w:tcPr>
          <w:p>
            <w:pPr>
              <w:spacing w:after="0" w:line="240" w:lineRule="auto"/>
              <w:jc w:val="center"/>
            </w:pPr>
            <w:r>
              <w:rPr>
                <w:sz w:val="19"/>
              </w:rPr>
              <w:t>Adaptive execution</w:t>
            </w:r>
          </w:p>
        </w:tc>
        <w:tc>
          <w:tcPr>
            <w:tcW w:type="dxa" w:w="3216"/>
            <w:vAlign w:val="center"/>
            <w:tcMar>
              <w:top w:w="90" w:type="dxa"/>
              <w:start w:w="110" w:type="dxa"/>
              <w:bottom w:w="90" w:type="dxa"/>
              <w:end w:w="110" w:type="dxa"/>
            </w:tcMar>
          </w:tcPr>
          <w:p>
            <w:pPr>
              <w:spacing w:after="0" w:line="240" w:lineRule="auto"/>
              <w:jc w:val="left"/>
            </w:pPr>
            <w:r>
              <w:rPr>
                <w:sz w:val="19"/>
              </w:rPr>
              <w:t>Failure of original policy in every form</w:t>
            </w:r>
          </w:p>
        </w:tc>
      </w:tr>
      <w:tr>
        <w:tc>
          <w:tcPr>
            <w:tcW w:type="dxa" w:w="3216"/>
            <w:vAlign w:val="center"/>
            <w:tcMar>
              <w:top w:w="90" w:type="dxa"/>
              <w:start w:w="110" w:type="dxa"/>
              <w:bottom w:w="90" w:type="dxa"/>
              <w:end w:w="110" w:type="dxa"/>
            </w:tcMar>
          </w:tcPr>
          <w:p>
            <w:pPr>
              <w:spacing w:after="0" w:line="240" w:lineRule="auto"/>
              <w:jc w:val="left"/>
            </w:pPr>
            <w:r>
              <w:rPr>
                <w:sz w:val="19"/>
              </w:rPr>
              <w:t>Does this interaction teach me something new?</w:t>
            </w:r>
          </w:p>
        </w:tc>
        <w:tc>
          <w:tcPr>
            <w:tcW w:type="dxa" w:w="3216"/>
            <w:vAlign w:val="center"/>
            <w:tcMar>
              <w:top w:w="90" w:type="dxa"/>
              <w:start w:w="110" w:type="dxa"/>
              <w:bottom w:w="90" w:type="dxa"/>
              <w:end w:w="110" w:type="dxa"/>
            </w:tcMar>
          </w:tcPr>
          <w:p>
            <w:pPr>
              <w:spacing w:after="0" w:line="240" w:lineRule="auto"/>
              <w:jc w:val="center"/>
            </w:pPr>
            <w:r>
              <w:rPr>
                <w:sz w:val="19"/>
              </w:rPr>
              <w:t>Execution-generated informational PV</w:t>
            </w:r>
          </w:p>
        </w:tc>
        <w:tc>
          <w:tcPr>
            <w:tcW w:type="dxa" w:w="3216"/>
            <w:vAlign w:val="center"/>
            <w:tcMar>
              <w:top w:w="90" w:type="dxa"/>
              <w:start w:w="110" w:type="dxa"/>
              <w:bottom w:w="90" w:type="dxa"/>
              <w:end w:w="110" w:type="dxa"/>
            </w:tcMar>
          </w:tcPr>
          <w:p>
            <w:pPr>
              <w:spacing w:after="0" w:line="240" w:lineRule="auto"/>
              <w:jc w:val="left"/>
            </w:pPr>
            <w:r>
              <w:rPr>
                <w:sz w:val="19"/>
              </w:rPr>
              <w:t>Pure ex ante capability estimate</w:t>
            </w:r>
          </w:p>
        </w:tc>
      </w:tr>
      <w:tr>
        <w:tc>
          <w:tcPr>
            <w:tcW w:type="dxa" w:w="3216"/>
            <w:vAlign w:val="center"/>
            <w:tcMar>
              <w:top w:w="90" w:type="dxa"/>
              <w:start w:w="110" w:type="dxa"/>
              <w:bottom w:w="90" w:type="dxa"/>
              <w:end w:w="110" w:type="dxa"/>
            </w:tcMar>
          </w:tcPr>
          <w:p>
            <w:pPr>
              <w:spacing w:after="0" w:line="240" w:lineRule="auto"/>
              <w:jc w:val="left"/>
            </w:pPr>
            <w:r>
              <w:rPr>
                <w:sz w:val="19"/>
              </w:rPr>
              <w:t>Did the task expose a real dead end?</w:t>
            </w:r>
          </w:p>
        </w:tc>
        <w:tc>
          <w:tcPr>
            <w:tcW w:type="dxa" w:w="3216"/>
            <w:vAlign w:val="center"/>
            <w:tcMar>
              <w:top w:w="90" w:type="dxa"/>
              <w:start w:w="110" w:type="dxa"/>
              <w:bottom w:w="90" w:type="dxa"/>
              <w:end w:w="110" w:type="dxa"/>
            </w:tcMar>
          </w:tcPr>
          <w:p>
            <w:pPr>
              <w:spacing w:after="0" w:line="240" w:lineRule="auto"/>
              <w:jc w:val="center"/>
            </w:pPr>
            <w:r>
              <w:rPr>
                <w:sz w:val="19"/>
              </w:rPr>
              <w:t>Execution-triggered abort / return</w:t>
            </w:r>
          </w:p>
        </w:tc>
        <w:tc>
          <w:tcPr>
            <w:tcW w:type="dxa" w:w="3216"/>
            <w:vAlign w:val="center"/>
            <w:tcMar>
              <w:top w:w="90" w:type="dxa"/>
              <w:start w:w="110" w:type="dxa"/>
              <w:bottom w:w="90" w:type="dxa"/>
              <w:end w:w="110" w:type="dxa"/>
            </w:tcMar>
          </w:tcPr>
          <w:p>
            <w:pPr>
              <w:spacing w:after="0" w:line="240" w:lineRule="auto"/>
              <w:jc w:val="left"/>
            </w:pPr>
            <w:r>
              <w:rPr>
                <w:sz w:val="19"/>
              </w:rPr>
              <w:t>Mere discomfort or narrative hesitation</w:t>
            </w:r>
          </w:p>
        </w:tc>
      </w:tr>
    </w:tbl>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PV–PP Decision Framework — Execution-Contingent Capability Revision and Adaptive Interaction Control — Supporting Specification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C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2C3E5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1252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ent">
    <w:name w:val="Accent"/>
    <w:rPr>
      <w:rFonts w:ascii="Aptos" w:hAnsi="Aptos"/>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