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Collective Entity Qualification, Membership, and Nested Viability</w:t>
      </w:r>
    </w:p>
    <w:p>
      <w:pPr>
        <w:jc w:val="center"/>
      </w:pPr>
      <w:r>
        <w:rPr>
          <w:i/>
          <w:sz w:val="22"/>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Qualification, membership, governance, state ownership, member–entity coupling, and nested viability</w:t>
            </w:r>
          </w:p>
        </w:tc>
      </w:tr>
      <w:tr>
        <w:tc>
          <w:tcPr>
            <w:tcW w:type="dxa" w:w="5083"/>
          </w:tcPr>
          <w:p>
            <w:r>
              <w:rPr>
                <w:b/>
              </w:rPr>
              <w:t>Authority boundary</w:t>
            </w:r>
          </w:p>
        </w:tc>
        <w:tc>
          <w:tcPr>
            <w:tcW w:type="dxa" w:w="5083"/>
          </w:tcPr>
          <w:p>
            <w:r>
              <w:t>Subordinate to Layer 4A v1.7 and System State Dynamics v0.3</w:t>
            </w:r>
          </w:p>
        </w:tc>
      </w:tr>
      <w:tr>
        <w:tc>
          <w:tcPr>
            <w:tcW w:type="dxa" w:w="5083"/>
          </w:tcPr>
          <w:p>
            <w:r>
              <w:rPr>
                <w:b/>
              </w:rPr>
              <w:t>Operator effect</w:t>
            </w:r>
          </w:p>
        </w:tc>
        <w:tc>
          <w:tcPr>
            <w:tcW w:type="dxa" w:w="5083"/>
          </w:tcPr>
          <w:p>
            <w:r>
              <w:t>Introduces no new operator and no alternate selection path</w:t>
            </w:r>
          </w:p>
        </w:tc>
      </w:tr>
      <w:tr>
        <w:tc>
          <w:tcPr>
            <w:tcW w:type="dxa" w:w="5083"/>
          </w:tcPr>
          <w:p>
            <w:r>
              <w:rPr>
                <w:b/>
              </w:rPr>
              <w:t>Supersedes</w:t>
            </w:r>
          </w:p>
        </w:tc>
        <w:tc>
          <w:tcPr>
            <w:tcW w:type="dxa" w:w="5083"/>
          </w:tcPr>
          <w:p>
            <w:r>
              <w:t>The legacy Collective Entities and Nested Viability Systems working draft for current use</w:t>
            </w:r>
          </w:p>
        </w:tc>
      </w:tr>
    </w:tbl>
    <w:p>
      <w:pPr>
        <w:pStyle w:val="Heading1"/>
      </w:pPr>
      <w:r>
        <w:t>1. Purpose</w:t>
      </w:r>
    </w:p>
    <w:p>
      <w:r>
        <w:t>This specification defines when a multi-agent aggregate may be modeled as a collective persistence-bearing entity and how its membership, governance, state, resources, policies, and viability relate to those of its members.</w:t>
      </w:r>
    </w:p>
    <w:p>
      <w:r>
        <w:t>It does not assume that every group, organization, family, market, institution, or coalition is an entity. Qualification must be demonstrated for the modeled purpose.</w:t>
      </w:r>
    </w:p>
    <w:p>
      <w:pPr>
        <w:pStyle w:val="Heading1"/>
      </w:pPr>
      <w:r>
        <w:t>2. Qualification Test</w:t>
      </w:r>
    </w:p>
    <w:p>
      <w:r>
        <w:t>An aggregate may be modeled as a collective persistence-bearing entity only when the analysis identifies all of the following:</w:t>
      </w:r>
    </w:p>
    <w:p>
      <w:pPr>
        <w:pStyle w:val="ListBullet"/>
      </w:pPr>
      <w:r>
        <w:t>A boundary that distinguishes the entity from its environment and nonmembers.</w:t>
      </w:r>
    </w:p>
    <w:p>
      <w:pPr>
        <w:pStyle w:val="ListBullet"/>
      </w:pPr>
      <w:r>
        <w:t>A persistent state that cannot be represented adequately as an unstructured list of member states.</w:t>
      </w:r>
    </w:p>
    <w:p>
      <w:pPr>
        <w:pStyle w:val="ListBullet"/>
      </w:pPr>
      <w:r>
        <w:t>A transition structure through which the entity changes over time.</w:t>
      </w:r>
    </w:p>
    <w:p>
      <w:pPr>
        <w:pStyle w:val="ListBullet"/>
      </w:pPr>
      <w:r>
        <w:t>Viability or continuity conditions applicable to the entity itself.</w:t>
      </w:r>
    </w:p>
    <w:p>
      <w:pPr>
        <w:pStyle w:val="ListBullet"/>
      </w:pPr>
      <w:r>
        <w:t>A mechanism of state retention across membership turnover.</w:t>
      </w:r>
    </w:p>
    <w:p>
      <w:pPr>
        <w:pStyle w:val="ListBullet"/>
      </w:pPr>
      <w:r>
        <w:t>Governance or coordination rules that connect member actions to entity-level action.</w:t>
      </w:r>
    </w:p>
    <w:p>
      <w:pPr>
        <w:pStyle w:val="ListBullet"/>
      </w:pPr>
      <w:r>
        <w:t>An empirically or analytically useful reason to treat the aggregate as a unit.</w:t>
      </w:r>
    </w:p>
    <w:p>
      <w:r>
        <w:t>Failure of one or more criteria does not prove that the group is unimportant. It means only that the current model should represent it as an interaction network, coalition, institution, or contextual structure rather than as an independent persistence-bearing entity.</w:t>
      </w:r>
    </w:p>
    <w:p>
      <w:pPr>
        <w:pStyle w:val="Heading1"/>
      </w:pPr>
      <w:r>
        <w:t>3. Collective Persistent State</w:t>
      </w:r>
    </w:p>
    <w:p>
      <w:r>
        <w:t>Where independently justified, a collective entity c may be represented using the same state classes used elsewhere in the framework:</w:t>
      </w:r>
    </w:p>
    <w:p>
      <w:pPr>
        <w:jc w:val="center"/>
      </w:pPr>
      <w:r>
        <w:rPr>
          <w:b/>
        </w:rPr>
        <w:t>S_c(t), I_c(t), P_c(t), and E_c(t)</w:t>
      </w:r>
    </w:p>
    <w:p>
      <w:pPr>
        <w:pStyle w:val="Heading2"/>
      </w:pPr>
      <w:r>
        <w:t>Actual persistent state S_c(t)</w:t>
      </w:r>
    </w:p>
    <w:p>
      <w:r>
        <w:t>Collective PP, collective or controlled SPV, AVS, and relevant context.</w:t>
      </w:r>
    </w:p>
    <w:p>
      <w:pPr>
        <w:pStyle w:val="Heading2"/>
      </w:pPr>
      <w:r>
        <w:t>Informational persistence I_c(t)</w:t>
      </w:r>
    </w:p>
    <w:p>
      <w:r>
        <w:t>Institutional memory, expectation, belief, confidence, records, procedures, and retained evidence, where the entity truly preserves them.</w:t>
      </w:r>
    </w:p>
    <w:p>
      <w:pPr>
        <w:pStyle w:val="Heading2"/>
      </w:pPr>
      <w:r>
        <w:t>Perceived state P_c(t)</w:t>
      </w:r>
    </w:p>
    <w:p>
      <w:r>
        <w:t>The state represented by authorized or effective decision processes; not automatically the average perception of members.</w:t>
      </w:r>
    </w:p>
    <w:p>
      <w:pPr>
        <w:pStyle w:val="Heading2"/>
      </w:pPr>
      <w:r>
        <w:t>Execution persistence E_c(t)</w:t>
      </w:r>
    </w:p>
    <w:p>
      <w:r>
        <w:t>Entity commitments, active policies, delegated authorities, reserved resources, and ongoing operations.</w:t>
      </w:r>
    </w:p>
    <w:p>
      <w:pPr>
        <w:pStyle w:val="Heading1"/>
      </w:pPr>
      <w:r>
        <w:t>4. Membership State</w:t>
      </w:r>
    </w:p>
    <w:p>
      <w:r>
        <w:t>Membership should be represented as a time-indexed relation rather than a permanent set.</w:t>
      </w:r>
    </w:p>
    <w:p>
      <w:pPr>
        <w:jc w:val="center"/>
      </w:pPr>
      <w:r>
        <w:rPr>
          <w:b/>
        </w:rPr>
        <w:t>G_c(t) = current members and recognized roles at time t</w:t>
      </w:r>
    </w:p>
    <w:p>
      <w:r>
        <w:t>A membership record may include admission basis, role, authority, contribution rights, withdrawal rights, obligations, access, and removal conditions.</w:t>
      </w:r>
    </w:p>
    <w:p>
      <w:r>
        <w:t>Entity continuity may survive member turnover only if state, governance, obligations, and operations remain sufficiently continuous under the model.</w:t>
      </w:r>
    </w:p>
    <w:p>
      <w:pPr>
        <w:pStyle w:val="Heading1"/>
      </w:pPr>
      <w:r>
        <w:t>5. Member–Entity State Coupling</w:t>
      </w:r>
    </w:p>
    <w:p>
      <w:r>
        <w:t>Member and entity states are coupled but not identical.</w:t>
      </w:r>
    </w:p>
    <w:p>
      <w:pPr>
        <w:pStyle w:val="ListBullet"/>
      </w:pPr>
      <w:r>
        <w:t>A member action may change the member, the entity, another member, or all three.</w:t>
      </w:r>
    </w:p>
    <w:p>
      <w:pPr>
        <w:pStyle w:val="ListBullet"/>
      </w:pPr>
      <w:r>
        <w:t>Entity policy may improve collective viability while reducing one member’s PP, SPV, or PVS.</w:t>
      </w:r>
    </w:p>
    <w:p>
      <w:pPr>
        <w:pStyle w:val="ListBullet"/>
      </w:pPr>
      <w:r>
        <w:t>Member contribution does not automatically become entity-owned PP or SPV.</w:t>
      </w:r>
    </w:p>
    <w:p>
      <w:pPr>
        <w:pStyle w:val="ListBullet"/>
      </w:pPr>
      <w:r>
        <w:t>Entity capability may depend on configuration, coordination, and role complementarity rather than arithmetic aggregation.</w:t>
      </w:r>
    </w:p>
    <w:p>
      <w:pPr>
        <w:pStyle w:val="ListBullet"/>
      </w:pPr>
      <w:r>
        <w:t>Member departure may remove capability, release obligations, expose hidden fragility, or have little effect depending on redundancy and governance.</w:t>
      </w:r>
    </w:p>
    <w:p>
      <w:pPr>
        <w:pStyle w:val="Heading1"/>
      </w:pPr>
      <w:r>
        <w:t>6. Governance and Decision Authority</w:t>
      </w:r>
    </w:p>
    <w:p>
      <w:r>
        <w:t>A collective does not literally decide unless the model identifies the process that constructs, authorizes, selects, realizes, or executes policies on its behalf.</w:t>
      </w:r>
    </w:p>
    <w:p>
      <w:pPr>
        <w:pStyle w:val="ListBullet"/>
      </w:pPr>
      <w:r>
        <w:t>Who may initiate or construct entity-level policies?</w:t>
      </w:r>
    </w:p>
    <w:p>
      <w:pPr>
        <w:pStyle w:val="ListBullet"/>
      </w:pPr>
      <w:r>
        <w:t>Who has standing or authority to approve them?</w:t>
      </w:r>
    </w:p>
    <w:p>
      <w:pPr>
        <w:pStyle w:val="ListBullet"/>
      </w:pPr>
      <w:r>
        <w:t>Which constraints and obligations bind the entity?</w:t>
      </w:r>
    </w:p>
    <w:p>
      <w:pPr>
        <w:pStyle w:val="ListBullet"/>
      </w:pPr>
      <w:r>
        <w:t>How are member disagreement, refusal, or nonperformance represented?</w:t>
      </w:r>
    </w:p>
    <w:p>
      <w:pPr>
        <w:pStyle w:val="ListBullet"/>
      </w:pPr>
      <w:r>
        <w:t>Who controls entity SPV, tools, information, and execution channels?</w:t>
      </w:r>
    </w:p>
    <w:p>
      <w:pPr>
        <w:pStyle w:val="ListBullet"/>
      </w:pPr>
      <w:r>
        <w:t>How are decisions recorded, delegated, reviewed, or revoked?</w:t>
      </w:r>
    </w:p>
    <w:p>
      <w:r>
        <w:t>Different governance mechanisms may answer these questions through hierarchy, voting, contract, role assignment, automated rules, or mixed systems. Governance is descriptive and should not be presumed legitimate or welfare-enhancing.</w:t>
      </w:r>
    </w:p>
    <w:p>
      <w:pPr>
        <w:pStyle w:val="Heading1"/>
      </w:pPr>
      <w:r>
        <w:t>7. Collective PP, SPV, and Shared Assets</w:t>
      </w:r>
    </w:p>
    <w:p>
      <w:r>
        <w:t>Collective resources must be classified using the current PP/SPV framework.</w:t>
      </w:r>
    </w:p>
    <w:p>
      <w:pPr>
        <w:pStyle w:val="ListBullet"/>
      </w:pPr>
      <w:r>
        <w:t>Operational routines, coordinated skills, authority channels, and functioning infrastructure may contribute to collective PP.</w:t>
      </w:r>
    </w:p>
    <w:p>
      <w:pPr>
        <w:pStyle w:val="ListBullet"/>
      </w:pPr>
      <w:r>
        <w:t>Cash, inventories, reserves, and retained claims ordinarily contribute to collective SPV when the entity controls them.</w:t>
      </w:r>
    </w:p>
    <w:p>
      <w:pPr>
        <w:pStyle w:val="ListBullet"/>
      </w:pPr>
      <w:r>
        <w:t>Shared assets may be mixed-role assets supporting both capability and stored value.</w:t>
      </w:r>
    </w:p>
    <w:p>
      <w:pPr>
        <w:pStyle w:val="ListBullet"/>
      </w:pPr>
      <w:r>
        <w:t>Assets controlled by members or external institutions should not be counted as fully entity-owned merely because the entity can sometimes access them.</w:t>
      </w:r>
    </w:p>
    <w:p>
      <w:pPr>
        <w:pStyle w:val="ListBullet"/>
      </w:pPr>
      <w:r>
        <w:t>Access, control, transferability, congestion, and encumbrance determine available collective capability.</w:t>
      </w:r>
    </w:p>
    <w:p>
      <w:pPr>
        <w:pStyle w:val="Heading1"/>
      </w:pPr>
      <w:r>
        <w:t>8. Joint Feasibility and Configuration-Dependent Capability</w:t>
      </w:r>
    </w:p>
    <w:p>
      <w:r>
        <w:t>Collective capability often exists only in a specific configuration of members, roles, tools, information, commitments, and institutions. The entity-level feasible policy set may therefore differ from both the union and the Cartesian product of member policy sets.</w:t>
      </w:r>
    </w:p>
    <w:p>
      <w:r>
        <w:t>A policy may be individually feasible but collectively infeasible, or collectively feasible only through coordination and role complementarity.</w:t>
      </w:r>
    </w:p>
    <w:p>
      <w:pPr>
        <w:pStyle w:val="Heading1"/>
      </w:pPr>
      <w:r>
        <w:t>9. Collective Viability</w:t>
      </w:r>
    </w:p>
    <w:p>
      <w:r>
        <w:t>Collective AVS should be derived from the entity’s own persistent state, critical margins, transition path, recovery reachability, commitments, and continuity requirements. It should not be inferred solely from the survival of current members or from one accounting threshold.</w:t>
      </w:r>
    </w:p>
    <w:p>
      <w:pPr>
        <w:pStyle w:val="ListBullet"/>
      </w:pPr>
      <w:r>
        <w:t>An entity may remain viable while some members leave or suffer losses.</w:t>
      </w:r>
    </w:p>
    <w:p>
      <w:pPr>
        <w:pStyle w:val="ListBullet"/>
      </w:pPr>
      <w:r>
        <w:t>Members may remain viable after the entity dissolves.</w:t>
      </w:r>
    </w:p>
    <w:p>
      <w:pPr>
        <w:pStyle w:val="ListBullet"/>
      </w:pPr>
      <w:r>
        <w:t>Entity collapse may eliminate access, employment, protection, identity, claims, or infrastructure for members, but the effects must be modeled rather than assumed.</w:t>
      </w:r>
    </w:p>
    <w:p>
      <w:pPr>
        <w:pStyle w:val="ListBullet"/>
      </w:pPr>
      <w:r>
        <w:t>A parent entity may terminate while qualified nested entities continue if their state and execution channels remain intact.</w:t>
      </w:r>
    </w:p>
    <w:p>
      <w:pPr>
        <w:pStyle w:val="ListBullet"/>
      </w:pPr>
      <w:r>
        <w:t>A nested child may fail while the parent continues through substitution, redundancy, or reconfiguration.</w:t>
      </w:r>
    </w:p>
    <w:p>
      <w:pPr>
        <w:pStyle w:val="Heading1"/>
      </w:pPr>
      <w:r>
        <w:t>10. Alignment and Conflict</w:t>
      </w:r>
    </w:p>
    <w:p>
      <w:r>
        <w:t>Collective persistence does not require complete incentive alignment. Member and entity interests may overlap, conflict, or change over time.</w:t>
      </w:r>
    </w:p>
    <w:p>
      <w:r>
        <w:t>The model should represent conflict through policy access, commitments, authority, constraints, expected consequences, and execution behavior rather than through a generic alignment score.</w:t>
      </w:r>
    </w:p>
    <w:p>
      <w:pPr>
        <w:pStyle w:val="Heading1"/>
      </w:pPr>
      <w:r>
        <w:t>11. Formation, Merger, Split, and Dissolution</w:t>
      </w:r>
    </w:p>
    <w:p>
      <w:r>
        <w:t>Entity boundaries may change. A complete model may represent:</w:t>
      </w:r>
    </w:p>
    <w:p>
      <w:pPr>
        <w:pStyle w:val="ListBullet"/>
      </w:pPr>
      <w:r>
        <w:t>formation from an interaction network or coalition;</w:t>
      </w:r>
    </w:p>
    <w:p>
      <w:pPr>
        <w:pStyle w:val="ListBullet"/>
      </w:pPr>
      <w:r>
        <w:t>admission and departure of members;</w:t>
      </w:r>
    </w:p>
    <w:p>
      <w:pPr>
        <w:pStyle w:val="ListBullet"/>
      </w:pPr>
      <w:r>
        <w:t>merger or acquisition;</w:t>
      </w:r>
    </w:p>
    <w:p>
      <w:pPr>
        <w:pStyle w:val="ListBullet"/>
      </w:pPr>
      <w:r>
        <w:t>split, secession, or spin-off;</w:t>
      </w:r>
    </w:p>
    <w:p>
      <w:pPr>
        <w:pStyle w:val="ListBullet"/>
      </w:pPr>
      <w:r>
        <w:t>loss of qualification as a persistence-bearing entity;</w:t>
      </w:r>
    </w:p>
    <w:p>
      <w:pPr>
        <w:pStyle w:val="ListBullet"/>
      </w:pPr>
      <w:r>
        <w:t>dissolution with distribution, destruction, or transfer of SPV and commitments.</w:t>
      </w:r>
    </w:p>
    <w:p>
      <w:r>
        <w:t>Boundary change must state how persistent state, obligations, authority, records, assets, and active policies are transferred or terminated.</w:t>
      </w:r>
    </w:p>
    <w:p>
      <w:pPr>
        <w:pStyle w:val="Heading1"/>
      </w:pPr>
      <w:r>
        <w:t>12. Nested Entities</w:t>
      </w:r>
    </w:p>
    <w:p>
      <w:r>
        <w:t>Nested entities may exist at several levels, but qualification must be performed independently at each level. A department is not automatically a persistence-bearing entity because the firm is one, and a firm is not automatically an entity in every model merely because law recognizes it.</w:t>
      </w:r>
    </w:p>
    <w:p>
      <w:r>
        <w:t>Cross-level effects should preserve causal direction: member actions update entity state through defined interfaces, and entity actions update members through policy, transfer, institutional, and environmental pathways.</w:t>
      </w:r>
    </w:p>
    <w:p>
      <w:pPr>
        <w:pStyle w:val="Heading1"/>
      </w:pPr>
      <w:r>
        <w:t>13. Minimal Implementation Contract</w:t>
      </w:r>
    </w:p>
    <w:p>
      <w:r>
        <w:t>A minimal implementation should represent:</w:t>
      </w:r>
    </w:p>
    <w:p>
      <w:pPr>
        <w:pStyle w:val="ListBullet"/>
      </w:pPr>
      <w:r>
        <w:t>entity identity and boundary;</w:t>
      </w:r>
    </w:p>
    <w:p>
      <w:pPr>
        <w:pStyle w:val="ListBullet"/>
      </w:pPr>
      <w:r>
        <w:t>membership and roles;</w:t>
      </w:r>
    </w:p>
    <w:p>
      <w:pPr>
        <w:pStyle w:val="ListBullet"/>
      </w:pPr>
      <w:r>
        <w:t>actual, informational, perceived, and execution-persistence state;</w:t>
      </w:r>
    </w:p>
    <w:p>
      <w:pPr>
        <w:pStyle w:val="ListBullet"/>
      </w:pPr>
      <w:r>
        <w:t>governance and authority rules;</w:t>
      </w:r>
    </w:p>
    <w:p>
      <w:pPr>
        <w:pStyle w:val="ListBullet"/>
      </w:pPr>
      <w:r>
        <w:t>controlled PP, SPV, and mixed-role assets;</w:t>
      </w:r>
    </w:p>
    <w:p>
      <w:pPr>
        <w:pStyle w:val="ListBullet"/>
      </w:pPr>
      <w:r>
        <w:t>entity and member policy interfaces;</w:t>
      </w:r>
    </w:p>
    <w:p>
      <w:pPr>
        <w:pStyle w:val="ListBullet"/>
      </w:pPr>
      <w:r>
        <w:t>joint-feasibility conditions;</w:t>
      </w:r>
    </w:p>
    <w:p>
      <w:pPr>
        <w:pStyle w:val="ListBullet"/>
      </w:pPr>
      <w:r>
        <w:t>continuity, collapse, release, and dissolution conditions.</w:t>
      </w:r>
    </w:p>
    <w:p>
      <w:pPr>
        <w:pStyle w:val="Heading1"/>
      </w:pPr>
      <w:r>
        <w:t>14. Boundary Rules</w:t>
      </w:r>
    </w:p>
    <w:p>
      <w:pPr>
        <w:pStyle w:val="ListBullet"/>
      </w:pPr>
      <w:r>
        <w:t>Interaction alone does not create entity status.</w:t>
      </w:r>
    </w:p>
    <w:p>
      <w:pPr>
        <w:pStyle w:val="ListBullet"/>
      </w:pPr>
      <w:r>
        <w:t>A shared name or identity label does not create entity status.</w:t>
      </w:r>
    </w:p>
    <w:p>
      <w:pPr>
        <w:pStyle w:val="ListBullet"/>
      </w:pPr>
      <w:r>
        <w:t>Legal recognition may support but does not by itself settle analytical qualification.</w:t>
      </w:r>
    </w:p>
    <w:p>
      <w:pPr>
        <w:pStyle w:val="ListBullet"/>
      </w:pPr>
      <w:r>
        <w:t>Collective PP is not the scalar sum of member PP.</w:t>
      </w:r>
    </w:p>
    <w:p>
      <w:pPr>
        <w:pStyle w:val="ListBullet"/>
      </w:pPr>
      <w:r>
        <w:t>Collective viability is not the average well-being of members.</w:t>
      </w:r>
    </w:p>
    <w:p>
      <w:pPr>
        <w:pStyle w:val="ListBullet"/>
      </w:pPr>
      <w:r>
        <w:t>Entity authority does not imply moral legitimacy.</w:t>
      </w:r>
    </w:p>
    <w:p>
      <w:pPr>
        <w:pStyle w:val="ListBullet"/>
      </w:pPr>
      <w:r>
        <w:t>Nested entity modeling does not override lower-level agent persistence or decision architecture.</w:t>
      </w:r>
    </w:p>
    <w:p>
      <w:pPr>
        <w:pStyle w:val="Heading1"/>
      </w:pPr>
      <w:r>
        <w:t>15. Authority and Status</w:t>
      </w:r>
    </w:p>
    <w:p>
      <w:r>
        <w:t>Version 0.1 is the active supporting specification for collective-entity qualification, membership, governance, and nested viability. Layer 4A v1.7 and System State Dynamics v0.3 remain controlling for higher-level scaling and global state evolution.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Collective Entity Qualification, Membership, and Nested Viability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