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Opportunity Closure, Reachability, and Delay</w:t>
      </w:r>
    </w:p>
    <w:p>
      <w:pPr>
        <w:jc w:val="center"/>
      </w:pPr>
      <w:r>
        <w:rPr>
          <w:i/>
          <w:sz w:val="22"/>
        </w:rPr>
        <w:t>Active Architecture-Supporting Specification</w:t>
      </w:r>
    </w:p>
    <w:p>
      <w:pPr>
        <w:jc w:val="center"/>
      </w:pPr>
      <w:r>
        <w:rPr>
          <w:sz w:val="20"/>
        </w:rPr>
        <w:t>Version 0.2 - August 2026</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Status</w:t>
            </w:r>
          </w:p>
        </w:tc>
        <w:tc>
          <w:tcPr>
            <w:tcW w:type="dxa" w:w="5083"/>
          </w:tcPr>
          <w:p>
            <w:r>
              <w:t>Active architecture-supporting specification</w:t>
            </w:r>
          </w:p>
        </w:tc>
      </w:tr>
      <w:tr>
        <w:tc>
          <w:tcPr>
            <w:tcW w:type="dxa" w:w="5083"/>
          </w:tcPr>
          <w:p>
            <w:r>
              <w:rPr>
                <w:b/>
              </w:rPr>
              <w:t>Scope</w:t>
            </w:r>
          </w:p>
        </w:tc>
        <w:tc>
          <w:tcPr>
            <w:tcW w:type="dxa" w:w="5083"/>
          </w:tcPr>
          <w:p>
            <w:r>
              <w:t>Projected and realized loss of viable future pathways under delay or changed conditions</w:t>
            </w:r>
          </w:p>
        </w:tc>
      </w:tr>
      <w:tr>
        <w:tc>
          <w:tcPr>
            <w:tcW w:type="dxa" w:w="5083"/>
          </w:tcPr>
          <w:p>
            <w:r>
              <w:rPr>
                <w:b/>
              </w:rPr>
              <w:t>Operator boundary</w:t>
            </w:r>
          </w:p>
        </w:tc>
        <w:tc>
          <w:tcPr>
            <w:tcW w:type="dxa" w:w="5083"/>
          </w:tcPr>
          <w:p>
            <w:r>
              <w:t>Introduces no new operator and does not alter the canonical sequence</w:t>
            </w:r>
          </w:p>
        </w:tc>
      </w:tr>
      <w:tr>
        <w:tc>
          <w:tcPr>
            <w:tcW w:type="dxa" w:w="5083"/>
          </w:tcPr>
          <w:p>
            <w:r>
              <w:rPr>
                <w:b/>
              </w:rPr>
              <w:t>Core distinction</w:t>
            </w:r>
          </w:p>
        </w:tc>
        <w:tc>
          <w:tcPr>
            <w:tcW w:type="dxa" w:w="5083"/>
          </w:tcPr>
          <w:p>
            <w:r>
              <w:t>Projected closure versus realized closure</w:t>
            </w:r>
          </w:p>
        </w:tc>
      </w:tr>
      <w:tr>
        <w:tc>
          <w:tcPr>
            <w:tcW w:type="dxa" w:w="5083"/>
          </w:tcPr>
          <w:p>
            <w:r>
              <w:rPr>
                <w:b/>
              </w:rPr>
              <w:t>Supersedes</w:t>
            </w:r>
          </w:p>
        </w:tc>
        <w:tc>
          <w:tcPr>
            <w:tcW w:type="dxa" w:w="5083"/>
          </w:tcPr>
          <w:p>
            <w:r>
              <w:t>Opportunity Closure Function Specification v1.1 and v1.0 for current use</w:t>
            </w:r>
          </w:p>
        </w:tc>
      </w:tr>
    </w:tbl>
    <w:p>
      <w:pPr>
        <w:pStyle w:val="Heading1"/>
      </w:pPr>
      <w:r>
        <w:t>1. Purpose</w:t>
      </w:r>
    </w:p>
    <w:p>
      <w:r>
        <w:t>This specification defines opportunity closure as a change in the set of reachable viable future states, policies, interactions, or recovery corridors. It explains how delay, inaction, failed coordination, state degradation, or institutional change can eliminate future options without converting that loss into a scalar penalty.</w:t>
      </w:r>
    </w:p>
    <w:p>
      <w:pPr>
        <w:pStyle w:val="Heading1"/>
      </w:pPr>
      <w:r>
        <w:t>2. Core Definition</w:t>
      </w:r>
    </w:p>
    <w:p>
      <w:r>
        <w:t>For a current state, policy, and modeled delay, opportunity closure occurs when one or more viable future trajectories that were reachable at the earlier time are no longer reachable under the later conditions.</w:t>
      </w:r>
    </w:p>
    <w:p>
      <w:pPr>
        <w:jc w:val="center"/>
      </w:pPr>
      <w:r>
        <w:rPr>
          <w:b/>
        </w:rPr>
        <w:t>Reach_viable(t + Δ | π, conditions) ⊂ Reach_viable(t | π, conditions)</w:t>
      </w:r>
    </w:p>
    <w:p>
      <w:r>
        <w:t>This set relation is conditional. It applies when the policy, relevant environment, institutional rules, counterparties, and information basis are held fixed except for the modeled passage of time and associated state change.</w:t>
      </w:r>
    </w:p>
    <w:p>
      <w:pPr>
        <w:pStyle w:val="Heading1"/>
      </w:pPr>
      <w:r>
        <w:t>3. Closure Is Not a Scalar Cost</w:t>
      </w:r>
    </w:p>
    <w:p>
      <w:pPr>
        <w:pStyle w:val="ListBullet"/>
      </w:pPr>
      <w:r>
        <w:t>Closure is not a cost-of-delay number subtracted from state.</w:t>
      </w:r>
    </w:p>
    <w:p>
      <w:pPr>
        <w:pStyle w:val="ListBullet"/>
      </w:pPr>
      <w:r>
        <w:t>Closure is not a reward penalty or utility adjustment.</w:t>
      </w:r>
    </w:p>
    <w:p>
      <w:pPr>
        <w:pStyle w:val="ListBullet"/>
      </w:pPr>
      <w:r>
        <w:t>Closure does not aggregate heterogeneous domains.</w:t>
      </w:r>
    </w:p>
    <w:p>
      <w:pPr>
        <w:pStyle w:val="ListBullet"/>
      </w:pPr>
      <w:r>
        <w:t>Closure does not create a tradeoff rule.</w:t>
      </w:r>
    </w:p>
    <w:p>
      <w:pPr>
        <w:pStyle w:val="ListBullet"/>
      </w:pPr>
      <w:r>
        <w:t>Closure does not itself select a policy.</w:t>
      </w:r>
    </w:p>
    <w:p>
      <w:pPr>
        <w:pStyle w:val="Heading1"/>
      </w:pPr>
      <w:r>
        <w:t>4. Projected Closure</w:t>
      </w:r>
    </w:p>
    <w:p>
      <w:r>
        <w:t>Projected closure is the agent's current estimate that delay or a policy trajectory will remove future viable paths. It is constructed from perceived state, expectation, confidence, memory, environmental estimates, active commitments, and projected transition structure.</w:t>
      </w:r>
    </w:p>
    <w:p>
      <w:r>
        <w:t>Projection ownership: projected closure, replacement, and reopening under a candidate policy are represented inside the authoritative Q_t(π) record produced by the Shared Policy-Conditional Projection Service. This supporting specification defines the reachability semantics; it does not create a separate selector or independently recompute Q_t(π).</w:t>
      </w:r>
    </w:p>
    <w:p>
      <w:r>
        <w:t>Projected closure may affect perceived collapse horizons, recovery reachability, graph construction, constraint forecasts, adequacy, and the consequence structure presented to Σ.</w:t>
      </w:r>
    </w:p>
    <w:p>
      <w:r>
        <w:t>Because it is projected, it may be accurate, incomplete, or wrong. Confidence and source quality should remain visible.</w:t>
      </w:r>
    </w:p>
    <w:p>
      <w:pPr>
        <w:pStyle w:val="Heading1"/>
      </w:pPr>
      <w:r>
        <w:t>5. Realized Closure</w:t>
      </w:r>
    </w:p>
    <w:p>
      <w:r>
        <w:t>Realized closure occurs when time passes or events occur and an opportunity actually becomes unavailable, infeasible, inaccessible, or nonrecoverable.</w:t>
      </w:r>
    </w:p>
    <w:p>
      <w:r>
        <w:t>Realized-state boundary: a projected closure does not alter the current Graph Layer merely because it is forecast. When closure or reopening is realized, the resulting state change may alter the graph/reachability substrate used in the next decision cycle.</w:t>
      </w:r>
    </w:p>
    <w:p>
      <w:pPr>
        <w:pStyle w:val="ListBullet"/>
      </w:pPr>
      <w:r>
        <w:t>A resource decays, is consumed, or is acquired by another agent.</w:t>
      </w:r>
    </w:p>
    <w:p>
      <w:pPr>
        <w:pStyle w:val="ListBullet"/>
      </w:pPr>
      <w:r>
        <w:t>A counterparty withdraws or a coordination window expires.</w:t>
      </w:r>
    </w:p>
    <w:p>
      <w:pPr>
        <w:pStyle w:val="ListBullet"/>
      </w:pPr>
      <w:r>
        <w:t>An institutional permission, legal option, or funding window closes.</w:t>
      </w:r>
    </w:p>
    <w:p>
      <w:pPr>
        <w:pStyle w:val="ListBullet"/>
      </w:pPr>
      <w:r>
        <w:t>A commitment, deadline, or encumbered resource blocks later action.</w:t>
      </w:r>
    </w:p>
    <w:p>
      <w:pPr>
        <w:pStyle w:val="ListBullet"/>
      </w:pPr>
      <w:r>
        <w:t>State degradation removes the PP or SPV required to execute the policy.</w:t>
      </w:r>
    </w:p>
    <w:p>
      <w:pPr>
        <w:pStyle w:val="ListBullet"/>
      </w:pPr>
      <w:r>
        <w:t>An irreversible environmental transition eliminates the recovery path.</w:t>
      </w:r>
    </w:p>
    <w:p>
      <w:r>
        <w:t>Realized closure updates actual environment, interaction state, institutional state, commitments, accessible SPV, available PP configuration, and graph structure for the next decision cycle.</w:t>
      </w:r>
    </w:p>
    <w:p>
      <w:pPr>
        <w:pStyle w:val="Heading1"/>
      </w:pPr>
      <w:r>
        <w:t>6. Sources of Closure</w:t>
      </w:r>
    </w:p>
    <w:p>
      <w:pPr>
        <w:pStyle w:val="Heading2"/>
      </w:pPr>
      <w:r>
        <w:t>6.1 State degradation</w:t>
      </w:r>
    </w:p>
    <w:p>
      <w:r>
        <w:t>Decay, depletion, wear, illness, skill loss, storage failure, or erosion may remove later feasibility.</w:t>
      </w:r>
    </w:p>
    <w:p>
      <w:pPr>
        <w:pStyle w:val="Heading2"/>
      </w:pPr>
      <w:r>
        <w:t>6.2 Opportunity-window expiration</w:t>
      </w:r>
    </w:p>
    <w:p>
      <w:r>
        <w:t>Offers, markets, access periods, deadlines, rescue windows, or counterpart availability may end.</w:t>
      </w:r>
    </w:p>
    <w:p>
      <w:pPr>
        <w:pStyle w:val="Heading2"/>
      </w:pPr>
      <w:r>
        <w:t>6.3 Coordination failure</w:t>
      </w:r>
    </w:p>
    <w:p>
      <w:r>
        <w:t>Jointly feasible action may cease to exist when another participant delays, defects, reallocates resources, or changes commitments.</w:t>
      </w:r>
    </w:p>
    <w:p>
      <w:pPr>
        <w:pStyle w:val="Heading2"/>
      </w:pPr>
      <w:r>
        <w:t>6.4 Constraint tightening</w:t>
      </w:r>
    </w:p>
    <w:p>
      <w:r>
        <w:t>Institutional, physical, relational, or temporal constraints may become binding.</w:t>
      </w:r>
    </w:p>
    <w:p>
      <w:pPr>
        <w:pStyle w:val="Heading2"/>
      </w:pPr>
      <w:r>
        <w:t>6.5 Path dependence and irreversibility</w:t>
      </w:r>
    </w:p>
    <w:p>
      <w:r>
        <w:t>Earlier choices may commit resources or move the system into a state from which earlier options cannot be recovered.</w:t>
      </w:r>
    </w:p>
    <w:p>
      <w:pPr>
        <w:pStyle w:val="Heading1"/>
      </w:pPr>
      <w:r>
        <w:t>7. Reopening, Replacement, and Non-Monotonicity</w:t>
      </w:r>
    </w:p>
    <w:p>
      <w:r>
        <w:t>Opportunity closure is not universally monotonic across all future histories. A different policy, new counterparty, technological change, restored PP, additional SPV, or institutional revision may reopen an equivalent or substitute route.</w:t>
      </w:r>
    </w:p>
    <w:p>
      <w:r>
        <w:t>The correct rule is conditional monotonicity under the specified delay path. The model should not claim that all opportunity sets only shrink over time.</w:t>
      </w:r>
    </w:p>
    <w:p>
      <w:pPr>
        <w:pStyle w:val="Heading1"/>
      </w:pPr>
      <w:r>
        <w:t>8. Domain and Cross-Domain Structure</w:t>
      </w:r>
    </w:p>
    <w:p>
      <w:r>
        <w:t>Closure should be represented in the domains and pathways actually affected. It may depend on cross-domain coupling without aggregating domains.</w:t>
      </w:r>
    </w:p>
    <w:p>
      <w:r>
        <w:t>For example, declining energy may remove access to an employment opportunity, which later reduces claim-based SPV access. The model should preserve the sequence rather than convert it into one score.</w:t>
      </w:r>
    </w:p>
    <w:p>
      <w:pPr>
        <w:pStyle w:val="Heading1"/>
      </w:pPr>
      <w:r>
        <w:t>9. Relationship to the Decision Stack</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Architecture surface</w:t>
            </w:r>
          </w:p>
        </w:tc>
        <w:tc>
          <w:tcPr>
            <w:tcW w:type="dxa" w:w="5083"/>
          </w:tcPr>
          <w:p>
            <w:r>
              <w:rPr>
                <w:b/>
              </w:rPr>
              <w:t>Closure role</w:t>
            </w:r>
          </w:p>
        </w:tc>
      </w:tr>
      <w:tr>
        <w:tc>
          <w:tcPr>
            <w:tcW w:type="dxa" w:w="5083"/>
          </w:tcPr>
          <w:p>
            <w:r>
              <w:t>Projection and H</w:t>
            </w:r>
          </w:p>
        </w:tc>
        <w:tc>
          <w:tcPr>
            <w:tcW w:type="dxa" w:w="5083"/>
          </w:tcPr>
          <w:p>
            <w:r>
              <w:t>Estimate future path loss and horizon compression.</w:t>
            </w:r>
          </w:p>
        </w:tc>
      </w:tr>
      <w:tr>
        <w:tc>
          <w:tcPr>
            <w:tcW w:type="dxa" w:w="5083"/>
          </w:tcPr>
          <w:p>
            <w:r>
              <w:t>Graph / seed substrate</w:t>
            </w:r>
          </w:p>
        </w:tc>
        <w:tc>
          <w:tcPr>
            <w:tcW w:type="dxa" w:w="5083"/>
          </w:tcPr>
          <w:p>
            <w:r>
              <w:t>Represent paths that remain reachable under the projected conditions.</w:t>
            </w:r>
          </w:p>
        </w:tc>
      </w:tr>
      <w:tr>
        <w:tc>
          <w:tcPr>
            <w:tcW w:type="dxa" w:w="5083"/>
          </w:tcPr>
          <w:p>
            <w:r>
              <w:t>Π</w:t>
            </w:r>
          </w:p>
        </w:tc>
        <w:tc>
          <w:tcPr>
            <w:tcW w:type="dxa" w:w="5083"/>
          </w:tcPr>
          <w:p>
            <w:r>
              <w:t>Construct only policies supported by the current graph; Π does not impose a separate closure penalty.</w:t>
            </w:r>
          </w:p>
        </w:tc>
      </w:tr>
      <w:tr>
        <w:tc>
          <w:tcPr>
            <w:tcW w:type="dxa" w:w="5083"/>
          </w:tcPr>
          <w:p>
            <w:r>
              <w:t>Constraints</w:t>
            </w:r>
          </w:p>
        </w:tc>
        <w:tc>
          <w:tcPr>
            <w:tcW w:type="dxa" w:w="5083"/>
          </w:tcPr>
          <w:p>
            <w:r>
              <w:t>Reject policies whose required windows or resources are already unavailable.</w:t>
            </w:r>
          </w:p>
        </w:tc>
      </w:tr>
      <w:tr>
        <w:tc>
          <w:tcPr>
            <w:tcW w:type="dxa" w:w="5083"/>
          </w:tcPr>
          <w:p>
            <w:r>
              <w:t>Adequacy</w:t>
            </w:r>
          </w:p>
        </w:tc>
        <w:tc>
          <w:tcPr>
            <w:tcW w:type="dxa" w:w="5083"/>
          </w:tcPr>
          <w:p>
            <w:r>
              <w:t>Test whether surviving policies preserve or restore required future reachability.</w:t>
            </w:r>
          </w:p>
        </w:tc>
      </w:tr>
      <w:tr>
        <w:tc>
          <w:tcPr>
            <w:tcW w:type="dxa" w:w="5083"/>
          </w:tcPr>
          <w:p>
            <w:r>
              <w:t>Σ</w:t>
            </w:r>
          </w:p>
        </w:tc>
        <w:tc>
          <w:tcPr>
            <w:tcW w:type="dxa" w:w="5083"/>
          </w:tcPr>
          <w:p>
            <w:r>
              <w:t>Select from the structured surviving set; Σ does not add closure as a scalar term.</w:t>
            </w:r>
          </w:p>
        </w:tc>
      </w:tr>
      <w:tr>
        <w:tc>
          <w:tcPr>
            <w:tcW w:type="dxa" w:w="5083"/>
          </w:tcPr>
          <w:p>
            <w:r>
              <w:t>ε and execution</w:t>
            </w:r>
          </w:p>
        </w:tc>
        <w:tc>
          <w:tcPr>
            <w:tcW w:type="dxa" w:w="5083"/>
          </w:tcPr>
          <w:p>
            <w:r>
              <w:t>Realize the selected policy subject to current access, timing, and implementation conditions.</w:t>
            </w:r>
          </w:p>
        </w:tc>
      </w:tr>
      <w:tr>
        <w:tc>
          <w:tcPr>
            <w:tcW w:type="dxa" w:w="5083"/>
          </w:tcPr>
          <w:p>
            <w:r>
              <w:t>State update</w:t>
            </w:r>
          </w:p>
        </w:tc>
        <w:tc>
          <w:tcPr>
            <w:tcW w:type="dxa" w:w="5083"/>
          </w:tcPr>
          <w:p>
            <w:r>
              <w:t>Record actual path loss or reopening for the next cycle.</w:t>
            </w:r>
          </w:p>
        </w:tc>
      </w:tr>
    </w:tbl>
    <w:p>
      <w:pPr>
        <w:pStyle w:val="Heading1"/>
      </w:pPr>
      <w:r>
        <w:t>10. Idle and Delay Policies</w:t>
      </w:r>
    </w:p>
    <w:p>
      <w:r>
        <w:t>Idle, wait, defer, and information-seeking policies are ordinary candidate policies. They are not automatically safe or unsafe.</w:t>
      </w:r>
    </w:p>
    <w:p>
      <w:r>
        <w:t>Their projection must include state decay, opportunity-window loss, expected information gain, commitment effects, and the possibility that waiting preserves or improves later options.</w:t>
      </w:r>
    </w:p>
    <w:p>
      <w:pPr>
        <w:pStyle w:val="Heading1"/>
      </w:pPr>
      <w:r>
        <w:t>11. Multi-Agent and Institutional Closure</w:t>
      </w:r>
    </w:p>
    <w:p>
      <w:r>
        <w:t>In multi-agent systems, opportunity closure may be counterpart-specific and jointly conditioned. A policy available with one partner may be unavailable with another because memory, confidence, guardrails, commitments, access, or joint feasibility differ.</w:t>
      </w:r>
    </w:p>
    <w:p>
      <w:r>
        <w:t>Institutions may close, preserve, ration, or reopen opportunity corridors through rules, enforcement, scheduling, standing, funding, or admissibility requirements.</w:t>
      </w:r>
    </w:p>
    <w:p>
      <w:pPr>
        <w:pStyle w:val="Heading1"/>
      </w:pPr>
      <w:r>
        <w:t>12. Implementation Contract</w:t>
      </w:r>
    </w:p>
    <w:p>
      <w:r>
        <w:t>A valid implementation should record:</w:t>
      </w:r>
    </w:p>
    <w:p>
      <w:pPr>
        <w:pStyle w:val="ListBullet"/>
      </w:pPr>
      <w:r>
        <w:t>the opportunity or pathway being tracked;</w:t>
      </w:r>
    </w:p>
    <w:p>
      <w:pPr>
        <w:pStyle w:val="ListBullet"/>
      </w:pPr>
      <w:r>
        <w:t>the relevant deadline or state condition;</w:t>
      </w:r>
    </w:p>
    <w:p>
      <w:pPr>
        <w:pStyle w:val="ListBullet"/>
      </w:pPr>
      <w:r>
        <w:t>the projected basis for closure;</w:t>
      </w:r>
    </w:p>
    <w:p>
      <w:pPr>
        <w:pStyle w:val="ListBullet"/>
      </w:pPr>
      <w:r>
        <w:t>confidence and information quality;</w:t>
      </w:r>
    </w:p>
    <w:p>
      <w:pPr>
        <w:pStyle w:val="ListBullet"/>
      </w:pPr>
      <w:r>
        <w:t>the actual event that caused closure or reopening;</w:t>
      </w:r>
    </w:p>
    <w:p>
      <w:pPr>
        <w:pStyle w:val="ListBullet"/>
      </w:pPr>
      <w:r>
        <w:t>the affected policies, domains, PP, SPV, commitments, or counterparties;</w:t>
      </w:r>
    </w:p>
    <w:p>
      <w:pPr>
        <w:pStyle w:val="ListBullet"/>
      </w:pPr>
      <w:r>
        <w:t>whether an equivalent substitute path remains available.</w:t>
      </w:r>
    </w:p>
    <w:p>
      <w:pPr>
        <w:pStyle w:val="Heading1"/>
      </w:pPr>
      <w:r>
        <w:t>13. Validation Requirements</w:t>
      </w:r>
    </w:p>
    <w:p>
      <w:pPr>
        <w:pStyle w:val="ListBullet"/>
      </w:pPr>
      <w:r>
        <w:t>Delay should trigger earlier action only when structural reachability actually deteriorates.</w:t>
      </w:r>
    </w:p>
    <w:p>
      <w:pPr>
        <w:pStyle w:val="ListBullet"/>
      </w:pPr>
      <w:r>
        <w:t>Waiting should remain admissible when it preserves or improves future reachability.</w:t>
      </w:r>
    </w:p>
    <w:p>
      <w:pPr>
        <w:pStyle w:val="ListBullet"/>
      </w:pPr>
      <w:r>
        <w:t>Closure should not behave as hidden reward shaping.</w:t>
      </w:r>
    </w:p>
    <w:p>
      <w:pPr>
        <w:pStyle w:val="ListBullet"/>
      </w:pPr>
      <w:r>
        <w:t>Projected closure and realized closure should be distinguishable in logs.</w:t>
      </w:r>
    </w:p>
    <w:p>
      <w:pPr>
        <w:pStyle w:val="ListBullet"/>
      </w:pPr>
      <w:r>
        <w:t>Cross-domain effects should preserve causal sequence.</w:t>
      </w:r>
    </w:p>
    <w:p>
      <w:pPr>
        <w:pStyle w:val="ListBullet"/>
      </w:pPr>
      <w:r>
        <w:t>Alternative or reopened pathways should prevent false claims of permanent closure.</w:t>
      </w:r>
    </w:p>
    <w:p>
      <w:pPr>
        <w:pStyle w:val="Heading1"/>
      </w:pPr>
      <w:r>
        <w:t>14. Boundaries</w:t>
      </w:r>
    </w:p>
    <w:p>
      <w:pPr>
        <w:pStyle w:val="ListBullet"/>
      </w:pPr>
      <w:r>
        <w:t>This specification does not define domain-specific decay rates or deadlines.</w:t>
      </w:r>
    </w:p>
    <w:p>
      <w:pPr>
        <w:pStyle w:val="ListBullet"/>
      </w:pPr>
      <w:r>
        <w:t>It does not establish a universal preference for acting sooner.</w:t>
      </w:r>
    </w:p>
    <w:p>
      <w:pPr>
        <w:pStyle w:val="ListBullet"/>
      </w:pPr>
      <w:r>
        <w:t>It does not make all lost options viability-critical.</w:t>
      </w:r>
    </w:p>
    <w:p>
      <w:pPr>
        <w:pStyle w:val="ListBullet"/>
      </w:pPr>
      <w:r>
        <w:t>It does not permit closure to bypass constraints, adequacy, Σ, or ε.</w:t>
      </w:r>
    </w:p>
    <w:p>
      <w:pPr>
        <w:pStyle w:val="ListBullet"/>
      </w:pPr>
      <w:r>
        <w:t>It introduces no scalar utility, welfare, or value-of-option measure.</w:t>
      </w:r>
    </w:p>
    <w:p>
      <w:pPr>
        <w:pStyle w:val="Heading1"/>
      </w:pPr>
      <w:r>
        <w:t>15. Authority and Status</w:t>
      </w:r>
    </w:p>
    <w:p>
      <w:r>
        <w:t>Version 0.2 is the active supporting specification for opportunity closure, reachability, and delay. It supersedes the legacy standalone function specification while preserving its central non-scalar reachability insight.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Opportunity Closure, Reachability, and Delay - Active Supporting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