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PV-PP Decision Framework</w:t>
      </w:r>
    </w:p>
    <w:p>
      <w:pPr>
        <w:jc w:val="center"/>
      </w:pPr>
      <w:r>
        <w:rPr>
          <w:b/>
          <w:sz w:val="32"/>
        </w:rPr>
        <w:t>Domain Devaluation and Acute Local Dominance</w:t>
      </w:r>
    </w:p>
    <w:p>
      <w:pPr>
        <w:jc w:val="center"/>
      </w:pPr>
      <w:r>
        <w:rPr>
          <w:i/>
          <w:sz w:val="24"/>
        </w:rPr>
        <w:t>Supporting Specification (V1)</w:t>
      </w:r>
    </w:p>
    <w:tbl>
      <w:tblPr>
        <w:tblStyle w:val="TableGrid"/>
        <w:tblW w:type="auto" w:w="0"/>
        <w:tblLook w:firstColumn="1" w:firstRow="1" w:lastColumn="0" w:lastRow="0" w:noHBand="0" w:noVBand="1" w:val="04A0"/>
      </w:tblPr>
      <w:tblGrid>
        <w:gridCol w:w="4824"/>
        <w:gridCol w:w="4824"/>
      </w:tblGrid>
      <w:tr>
        <w:tc>
          <w:tcPr>
            <w:tcW w:type="dxa" w:w="4824"/>
          </w:tcPr>
          <w:p>
            <w:r>
              <w:t>Version</w:t>
            </w:r>
          </w:p>
        </w:tc>
        <w:tc>
          <w:tcPr>
            <w:tcW w:type="dxa" w:w="4824"/>
          </w:tcPr>
          <w:p>
            <w:r>
              <w:t>v0.2 (Revised — Binding-Force Threshold Formalization and Operator Interaction Clarification)</w:t>
            </w:r>
          </w:p>
        </w:tc>
      </w:tr>
      <w:tr>
        <w:tc>
          <w:tcPr>
            <w:tcW w:type="dxa" w:w="4824"/>
          </w:tcPr>
          <w:p>
            <w:r>
              <w:t>Category</w:t>
            </w:r>
          </w:p>
        </w:tc>
        <w:tc>
          <w:tcPr>
            <w:tcW w:type="dxa" w:w="4824"/>
          </w:tcPr>
          <w:p>
            <w:r>
              <w:t>Architecture Supporting</w:t>
            </w:r>
          </w:p>
        </w:tc>
      </w:tr>
      <w:tr>
        <w:tc>
          <w:tcPr>
            <w:tcW w:type="dxa" w:w="4824"/>
          </w:tcPr>
          <w:p>
            <w:r>
              <w:t>Type</w:t>
            </w:r>
          </w:p>
        </w:tc>
        <w:tc>
          <w:tcPr>
            <w:tcW w:type="dxa" w:w="4824"/>
          </w:tcPr>
          <w:p>
            <w:r>
              <w:t>Full replacement draft</w:t>
            </w:r>
          </w:p>
        </w:tc>
      </w:tr>
      <w:tr>
        <w:tc>
          <w:tcPr>
            <w:tcW w:type="dxa" w:w="4824"/>
          </w:tcPr>
          <w:p>
            <w:r>
              <w:t>Status</w:t>
            </w:r>
          </w:p>
        </w:tc>
        <w:tc>
          <w:tcPr>
            <w:tcW w:type="dxa" w:w="4824"/>
          </w:tcPr>
          <w:p>
            <w:r>
              <w:t>Controlled replacement of the initial grounding draft</w:t>
            </w:r>
          </w:p>
        </w:tc>
      </w:tr>
    </w:tbl>
    <w:p/>
    <w:p>
      <w:pPr>
        <w:pStyle w:val="Heading1"/>
      </w:pPr>
      <w:r>
        <w:t>1. Purpose</w:t>
      </w:r>
    </w:p>
    <w:p>
      <w:r>
        <w:t>This document defines two linked Layer 2 governance-binding conditions required by the current framework: domain devaluation and acute local dominance.</w:t>
      </w:r>
    </w:p>
    <w:p>
      <w:r>
        <w:t>Its purpose is to capture cases in which domain damage remains visible, acknowledged, and even verbally recognized as important, yet still fails to constrain action strongly enough to block a locally dominant path.</w:t>
      </w:r>
    </w:p>
    <w:p>
      <w:r>
        <w:t>The document does not create a new Layer 2 operator. It defines a governance-binding failure that existing operators must be able to distinguish from perception distortion, hard feasibility, framing error, adequacy failure, and late-stage selection artifacts.</w:t>
      </w:r>
    </w:p>
    <w:p>
      <w:pPr>
        <w:pStyle w:val="Heading1"/>
      </w:pPr>
      <w:r>
        <w:t>2. Problem Statement</w:t>
      </w:r>
    </w:p>
    <w:p>
      <w:r>
        <w:t>The current architecture already models perceived state, represented pressure, collapse horizons, structural governance, regime posture, graph-borne policy construction, completeness validation, constraints, framing, adequacy, selection, and execution.</w:t>
      </w:r>
    </w:p>
    <w:p>
      <w:r>
        <w:t>What it still needs to define more sharply is the case in which the agent can see or acknowledge the damage and still says, in effect: “I know this is damaging work, marriage, health, law, dignity, safety, or future viability, and I still do not care enough right now for that damage to govern action.”</w:t>
      </w:r>
    </w:p>
    <w:p>
      <w:r>
        <w:t>The initial v0.1 draft named this phenomenon correctly but left the key qualifier too verbal. “Strongly enough” was doing the load-bearing work without a threshold discipline. This revision fixes that by defining a bounded binding-force formalization that downstream operator files can refer to deterministically.</w:t>
      </w:r>
    </w:p>
    <w:p>
      <w:pPr>
        <w:pStyle w:val="Heading1"/>
      </w:pPr>
      <w:r>
        <w:t>3. Architectural Position</w:t>
      </w:r>
    </w:p>
    <w:p>
      <w:r>
        <w:t>The phenomenon defined here belongs primarily to Layer 2. Layer 1 models state, interaction, transition, viability, projection, and reachability, but does not model motivation, valuation posture, or policy selection.</w:t>
      </w:r>
    </w:p>
    <w:p>
      <w:r>
        <w:t>Domain devaluation and acute local dominance therefore are not Layer 1 state primitives. They are governance-binding conditions that arise after perceived state is available and before behavior is finally realized.</w:t>
      </w:r>
    </w:p>
    <w:p>
      <w:r>
        <w:t>They do not insert a new operator into the canonical stack:</w:t>
      </w:r>
    </w:p>
    <w:p>
      <w:r>
        <w:t>PPP → Φ → H → G → ℛ → Graph Layer / seed substrate → Π → Π completeness validation → Constraints → Domain Framing → Adequacy → Σ → ε</w:t>
      </w:r>
    </w:p>
    <w:p>
      <w:r>
        <w:t>They modify how the current operator outputs must be interpreted when visible damage is failing to bind behavior.</w:t>
      </w:r>
    </w:p>
    <w:p>
      <w:pPr>
        <w:pStyle w:val="Heading1"/>
      </w:pPr>
      <w:r>
        <w:t>4. Core Distinctions</w:t>
      </w:r>
    </w:p>
    <w:p>
      <w:r>
        <w:t>The framework must preserve three separate cases.</w:t>
      </w:r>
    </w:p>
    <w:p>
      <w:r>
        <w:t>Perception distortion: the damage is concealed, underread, deferred, or misframed.</w:t>
      </w:r>
    </w:p>
    <w:p>
      <w:r>
        <w:t>Domain devaluation: the damage is represented, acknowledged, or verbally affirmed, but its effective local binding force falls below the threshold required to constrain action relative to a competing path.</w:t>
      </w:r>
    </w:p>
    <w:p>
      <w:r>
        <w:t>Acute local dominance: one corridor or path becomes so locally dominant in the present episode that surrounding domains, though still represented, become functionally non-binding in action.</w:t>
      </w:r>
    </w:p>
    <w:p>
      <w:r>
        <w:t>These are not interchangeable. A theory that collapses them loses explanatory power exactly where addiction, compulsion, gambling, rage, acting out, and relapse become hardest to explain.</w:t>
      </w:r>
    </w:p>
    <w:p>
      <w:pPr>
        <w:pStyle w:val="Heading1"/>
      </w:pPr>
      <w:r>
        <w:t>5. Formal Objects</w:t>
      </w:r>
    </w:p>
    <w:p>
      <w:r>
        <w:t>Let K_vis(t) be the set of domains whose damage or threat is presently represented or acknowledged in PPP.</w:t>
      </w:r>
    </w:p>
    <w:p>
      <w:r>
        <w:t>Let G_I(t) be the structurally governing domain set already identified upstream.</w:t>
      </w:r>
    </w:p>
    <w:p>
      <w:r>
        <w:t>Let Π_live(t) be the candidate policy set that survives upstream generation and completeness discipline far enough to be treated as locally live for the present episode.</w:t>
      </w:r>
    </w:p>
    <w:p>
      <w:r>
        <w:t>For each represented domain d_k, define:</w:t>
      </w:r>
    </w:p>
    <w:p>
      <w:r>
        <w:t>B_k(t) = effective local binding force of domain d_k in the present episode.</w:t>
      </w:r>
    </w:p>
    <w:p>
      <w:r>
        <w:t>B_k(t) is not identical to represented pressure. It is the effective local force with which domain d_k constrains live candidate posture, relicensing, or execution entry. B_k(t) may depend on represented pressure, horizon compression, structural governance, commitment carryover, and current salience, but it is not reducible to any one of them.</w:t>
      </w:r>
    </w:p>
    <w:p>
      <w:r>
        <w:t>For the currently dominant local path λ*(t), define:</w:t>
      </w:r>
    </w:p>
    <w:p>
      <w:r>
        <w:t>B_loc(t) = effective local force of the dominant corridor or path.</w:t>
      </w:r>
    </w:p>
    <w:p>
      <w:r>
        <w:t>This is the force with which the dominant corridor continues to relicence itself against competing domain claims in the present episode.</w:t>
      </w:r>
    </w:p>
    <w:p>
      <w:pPr>
        <w:pStyle w:val="Heading1"/>
      </w:pPr>
      <w:r>
        <w:t>6. Domain Devaluation</w:t>
      </w:r>
    </w:p>
    <w:p>
      <w:r>
        <w:t>Define the local binding ratio for a represented domain d_k:</w:t>
      </w:r>
    </w:p>
    <w:p>
      <w:r>
        <w:t>R_k(t) = B_k(t) / max(ε, B_loc(t))</w:t>
      </w:r>
    </w:p>
    <w:p>
      <w:r>
        <w:t>where ε &gt; 0 is a small stabilizing constant.</w:t>
      </w:r>
    </w:p>
    <w:p>
      <w:r>
        <w:t>A represented domain d_k is devalued at time t iff all of the following hold:</w:t>
      </w:r>
    </w:p>
    <w:p>
      <w:r>
        <w:t>(a) d_k ∈ K_vis(t); the damage or threat is represented or acknowledged.</w:t>
        <w:br/>
        <w:t>(b) d_k remains structurally relevant, and where applicable may remain in G_I(t).</w:t>
        <w:br/>
        <w:t>(c) R_k(t) &lt; τ_dev, where τ_dev ∈ (0,1) is the devaluation threshold.</w:t>
        <w:br/>
        <w:t>(d) At least one locally live policy path remains relicensed despite visible damage to d_k.</w:t>
      </w:r>
    </w:p>
    <w:p>
      <w:r>
        <w:t>Interpretation:</w:t>
        <w:br/>
        <w:t>domain devaluation does not mean the domain disappears.</w:t>
        <w:br/>
        <w:t>It means the domain’s effective local binding force falls below the threshold required to constrain the path that is currently dominating behavior.</w:t>
      </w:r>
    </w:p>
    <w:p>
      <w:pPr>
        <w:pStyle w:val="Heading1"/>
      </w:pPr>
      <w:r>
        <w:t>7. Acute Local Dominance</w:t>
      </w:r>
    </w:p>
    <w:p>
      <w:r>
        <w:t>A path or corridor λ*(t) is acutely locally dominant iff:</w:t>
      </w:r>
    </w:p>
    <w:p>
      <w:r>
        <w:t>(a) λ*(t) is locally live in the current policy episode,</w:t>
        <w:br/>
        <w:t>(b) its effective local force B_loc(t) exceeds the effective binding force of every represented competing domain claim,</w:t>
        <w:br/>
        <w:t>and</w:t>
        <w:br/>
        <w:t>(c) B_loc(t) / max(ε, max_k B_k(t)) ≥ τ_ald</w:t>
      </w:r>
    </w:p>
    <w:p>
      <w:r>
        <w:t>where τ_ald ≥ 1 is the acute-local-dominance threshold.</w:t>
      </w:r>
    </w:p>
    <w:p>
      <w:r>
        <w:t>Interpretation:</w:t>
        <w:br/>
        <w:t>acute local dominance is intentionally local. It does not mean the system globally denies that the other domains matter. It means they do not govern the present choice with enough force to block the dominant path in the current episode.</w:t>
      </w:r>
    </w:p>
    <w:p>
      <w:pPr>
        <w:pStyle w:val="Heading1"/>
      </w:pPr>
      <w:r>
        <w:t>8. Distinguishing the Two Conditions</w:t>
      </w:r>
    </w:p>
    <w:p>
      <w:r>
        <w:t>The two conditions are linked but not identical.</w:t>
      </w:r>
    </w:p>
    <w:p>
      <w:r>
        <w:t>A represented domain may be devalued without a single corridor achieving acute local dominance if several weakly competing paths all outrank the damaged domain locally.</w:t>
      </w:r>
    </w:p>
    <w:p>
      <w:r>
        <w:t>Conversely, a corridor may become acutely locally dominant even where only one or two domains are presently represented.</w:t>
      </w:r>
    </w:p>
    <w:p>
      <w:r>
        <w:t>The most common clinically relevant case is the coupled one:</w:t>
        <w:br/>
        <w:t>a locally dominant relief, discharge, or corrective-fantasy corridor becomes strong enough that surrounding visible domains fall below the devaluation threshold.</w:t>
      </w:r>
    </w:p>
    <w:p>
      <w:pPr>
        <w:pStyle w:val="Heading1"/>
      </w:pPr>
      <w:r>
        <w:t>9. Canonical Examples</w:t>
      </w:r>
    </w:p>
    <w:p>
      <w:r>
        <w:t>Alcohol use: the person knows drinking is damaging work, family, law, health, or dignity and still drinks because immediate alcohol relief has become locally dominant.</w:t>
      </w:r>
    </w:p>
    <w:p>
      <w:r>
        <w:t>Sexual acting out: the person knows the act could damage marriage or reputation and still proceeds because immediate reward has locally outranked the surrounding domains.</w:t>
      </w:r>
    </w:p>
    <w:p>
      <w:r>
        <w:t>Gambling: the person knows further play is catastrophic and still chases because the immediate corrective fantasy dominates the represented damage.</w:t>
      </w:r>
    </w:p>
    <w:p>
      <w:r>
        <w:t>Rage: the person knows the outburst will worsen the situation and still explodes because immediate discharge has become locally binding.</w:t>
      </w:r>
    </w:p>
    <w:p>
      <w:pPr>
        <w:pStyle w:val="Heading1"/>
      </w:pPr>
      <w:r>
        <w:t>10. Relationship to Existing Operators</w:t>
      </w:r>
    </w:p>
    <w:p>
      <w:r>
        <w:t>Perception and PPP: perception may misread or correctly read the damage. Domain devaluation begins only after the relevant domain is represented.</w:t>
      </w:r>
    </w:p>
    <w:p>
      <w:r>
        <w:t>Pressure Field Φ: represented pressure does not guarantee behavioral binding. A domain may carry substantial represented pressure yet still be locally devalued when B_k(t) remains below the devaluation threshold.</w:t>
      </w:r>
    </w:p>
    <w:p>
      <w:r>
        <w:t>Governing Domain Identification G: structural governance and effective local binding are not identical. A domain may remain in G_I(t) while being locally devalued in behavior.</w:t>
      </w:r>
    </w:p>
    <w:p>
      <w:r>
        <w:t>Regime Classification ℛ: regime posture may coexist with local capture phenomena, but regime is not identical to binding-force collapse. Domain devaluation and acute local dominance do not create a fifth regime.</w:t>
      </w:r>
    </w:p>
    <w:p>
      <w:r>
        <w:t>Graph Layer, Π, and Π completeness validation: local devaluation may narrow what is treated as live or licensable, but it must not be used to excuse upstream omission. Missing policy classes remain a Π-level or graph-level failure where appropriate.</w:t>
      </w:r>
    </w:p>
    <w:p>
      <w:r>
        <w:t>Constraints: local dominance is not hard feasibility. A path may be fully executable and still be governingly destructive.</w:t>
      </w:r>
    </w:p>
    <w:p>
      <w:r>
        <w:t>Domain Framing and Adequacy: a real recovery corridor may objectively exist even when the agent is not acting as though it binds. These concepts do not redefine framed preservation or corridor existence.</w:t>
      </w:r>
    </w:p>
    <w:p>
      <w:r>
        <w:t>Σ and ε: these stages consume the already-shaped candidate and admissibility structure. They do not originate the governance-binding failure.</w:t>
      </w:r>
    </w:p>
    <w:p>
      <w:pPr>
        <w:pStyle w:val="Heading1"/>
      </w:pPr>
      <w:r>
        <w:t>11. Recovery Implication</w:t>
      </w:r>
    </w:p>
    <w:p>
      <w:r>
        <w:t>The practical significance of these concepts is that some interventions do not merely correct information. They restore governing force.</w:t>
      </w:r>
    </w:p>
    <w:p>
      <w:r>
        <w:t>Meetings, sponsorship, confession, inventory, amends, service, structured accountability, and analogous interventions can be interpreted as mechanisms that raise B_k(t) for domains that had become visible but non-binding, or that weaken B_loc(t) for the dominant corridor.</w:t>
      </w:r>
    </w:p>
    <w:p>
      <w:r>
        <w:t>The target is not merely making the person know that damage exists. The target is restoring the binding-force ratio so surrounding domains again constrain candidate posture and execution entry.</w:t>
      </w:r>
    </w:p>
    <w:p>
      <w:pPr>
        <w:pStyle w:val="Heading1"/>
      </w:pPr>
      <w:r>
        <w:t>12. Boundary Rules</w:t>
      </w:r>
    </w:p>
    <w:p>
      <w:r>
        <w:t>The framework must not:</w:t>
        <w:br/>
        <w:t>• treat every destructive act as proof that the actor literally failed to see the damage,</w:t>
        <w:br/>
        <w:t>• treat every visible-but-non-binding domain as proof that the domain is structurally non-governing,</w:t>
        <w:br/>
        <w:t>• redefine acute local dominance as a Layer 1 state primitive,</w:t>
        <w:br/>
        <w:t>• use these concepts to launder candidate-set omission, framing error, or adequacy failure into a vague psychology story.</w:t>
      </w:r>
    </w:p>
    <w:p>
      <w:r>
        <w:t>The framework must preserve:</w:t>
        <w:br/>
        <w:t>• represented pressure ≠ effective local binding force,</w:t>
        <w:br/>
        <w:t>• structural governance ≠ local behavioral binding,</w:t>
        <w:br/>
        <w:t>• visible damage ≠ guaranteed governing effect.</w:t>
      </w:r>
    </w:p>
    <w:p>
      <w:pPr>
        <w:pStyle w:val="Heading1"/>
      </w:pPr>
      <w:r>
        <w:t>13. Operational Reading</w:t>
      </w:r>
    </w:p>
    <w:p>
      <w:r>
        <w:t>When applying this specification in a case analysis, the correct diagnostic sequence is:</w:t>
      </w:r>
    </w:p>
    <w:p>
      <w:r>
        <w:t>1. determine whether the damage is actually represented;</w:t>
        <w:br/>
        <w:t>2. determine whether the affected domain remains structurally relevant or governing;</w:t>
        <w:br/>
        <w:t>3. identify the currently dominant local path λ*(t);</w:t>
        <w:br/>
        <w:t>4. assess whether B_loc(t) exceeds competing binding forces beyond the acute-local-dominance threshold;</w:t>
        <w:br/>
        <w:t>5. assess whether represented surrounding domains fall below the devaluation threshold;</w:t>
        <w:br/>
        <w:t>6. only then interpret the downstream candidate and execution structure.</w:t>
      </w:r>
    </w:p>
    <w:p>
      <w:r>
        <w:t>This sequence prevents visible-but-non-binding damage from being misclassified as mere ignorance or as a downstream Σ anomaly.</w:t>
      </w:r>
    </w:p>
    <w:p>
      <w:pPr>
        <w:pStyle w:val="Heading1"/>
      </w:pPr>
      <w:r>
        <w:t>14. Structural Summary</w:t>
      </w:r>
    </w:p>
    <w:p>
      <w:r>
        <w:t>The framework now distinguishes between:</w:t>
        <w:br/>
        <w:t>• unseen or misread damage,</w:t>
        <w:br/>
        <w:t>• seen but devalued damage,</w:t>
        <w:br/>
        <w:t>• acute local dominance.</w:t>
      </w:r>
    </w:p>
    <w:p>
      <w:r>
        <w:t>This revision formalizes the distinction by introducing a binding-force ratio for represented domains and a threshold condition for corridor dominance.</w:t>
      </w:r>
    </w:p>
    <w:p>
      <w:r>
        <w:t>The concepts remain inside Layer 2 as governance-binding conditions. They should be used to sharpen addiction, compulsion, acting-out, rage, relapse, and similar analyses without collapsing operator boundaries or moving decision phenomena into Layer 1.</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