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Interaction Opportunity Discovery, Representation, and Policy Seeding</w:t>
      </w:r>
    </w:p>
    <w:p>
      <w:pPr>
        <w:jc w:val="center"/>
      </w:pPr>
      <w:r>
        <w:rPr>
          <w:i/>
          <w:sz w:val="22"/>
        </w:rPr>
        <w:t>Active Architecture-Supporting Specification</w:t>
      </w:r>
    </w:p>
    <w:p>
      <w:pPr>
        <w:jc w:val="center"/>
      </w:pPr>
      <w:r>
        <w:rPr>
          <w:sz w:val="20"/>
        </w:rPr>
        <w:t>Version 0.1 - June 2026</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Status</w:t>
            </w:r>
          </w:p>
        </w:tc>
        <w:tc>
          <w:tcPr>
            <w:tcW w:type="dxa" w:w="5083"/>
          </w:tcPr>
          <w:p>
            <w:r>
              <w:t>Active architecture-supporting specification</w:t>
            </w:r>
          </w:p>
        </w:tc>
      </w:tr>
      <w:tr>
        <w:tc>
          <w:tcPr>
            <w:tcW w:type="dxa" w:w="5083"/>
          </w:tcPr>
          <w:p>
            <w:r>
              <w:rPr>
                <w:b/>
              </w:rPr>
              <w:t>Scope</w:t>
            </w:r>
          </w:p>
        </w:tc>
        <w:tc>
          <w:tcPr>
            <w:tcW w:type="dxa" w:w="5083"/>
          </w:tcPr>
          <w:p>
            <w:r>
              <w:t>Discovery and representation of possible multi-agent interactions before policy construction</w:t>
            </w:r>
          </w:p>
        </w:tc>
      </w:tr>
      <w:tr>
        <w:tc>
          <w:tcPr>
            <w:tcW w:type="dxa" w:w="5083"/>
          </w:tcPr>
          <w:p>
            <w:r>
              <w:rPr>
                <w:b/>
              </w:rPr>
              <w:t>Operator boundary</w:t>
            </w:r>
          </w:p>
        </w:tc>
        <w:tc>
          <w:tcPr>
            <w:tcW w:type="dxa" w:w="5083"/>
          </w:tcPr>
          <w:p>
            <w:r>
              <w:t>Introduces no new operator</w:t>
            </w:r>
          </w:p>
        </w:tc>
      </w:tr>
      <w:tr>
        <w:tc>
          <w:tcPr>
            <w:tcW w:type="dxa" w:w="5083"/>
          </w:tcPr>
          <w:p>
            <w:r>
              <w:rPr>
                <w:b/>
              </w:rPr>
              <w:t>Canonical location</w:t>
            </w:r>
          </w:p>
        </w:tc>
        <w:tc>
          <w:tcPr>
            <w:tcW w:type="dxa" w:w="5083"/>
          </w:tcPr>
          <w:p>
            <w:r>
              <w:t>Perceived state and memory inputs -&gt; G / graph-seed substrate -&gt; Π</w:t>
            </w:r>
          </w:p>
        </w:tc>
      </w:tr>
      <w:tr>
        <w:tc>
          <w:tcPr>
            <w:tcW w:type="dxa" w:w="5083"/>
          </w:tcPr>
          <w:p>
            <w:r>
              <w:rPr>
                <w:b/>
              </w:rPr>
              <w:t>Supersedes</w:t>
            </w:r>
          </w:p>
        </w:tc>
        <w:tc>
          <w:tcPr>
            <w:tcW w:type="dxa" w:w="5083"/>
          </w:tcPr>
          <w:p>
            <w:r>
              <w:t>PV-PP Interaction Opportunity Generation.docx for current use</w:t>
            </w:r>
          </w:p>
        </w:tc>
      </w:tr>
    </w:tbl>
    <w:p>
      <w:pPr>
        <w:pStyle w:val="Heading1"/>
      </w:pPr>
      <w:r>
        <w:t>1. Purpose</w:t>
      </w:r>
    </w:p>
    <w:p>
      <w:r>
        <w:t>This specification defines how possible interactions become representable inputs to policy construction. It separates recognition of a possible counterparty relation from construction, evaluation, selection, and execution of a policy involving that relation.</w:t>
      </w:r>
    </w:p>
    <w:p>
      <w:pPr>
        <w:pStyle w:val="Heading1"/>
      </w:pPr>
      <w:r>
        <w:t>2. Core Distinctions</w:t>
      </w:r>
    </w:p>
    <w:p>
      <w:pPr>
        <w:pStyle w:val="ListBullet"/>
      </w:pPr>
      <w:r>
        <w:rPr>
          <w:b/>
        </w:rPr>
        <w:t xml:space="preserve">Actual interaction availability: </w:t>
      </w:r>
      <w:r>
        <w:t>A relation or corridor exists in the environment under current physical, relational, and institutional conditions.</w:t>
      </w:r>
    </w:p>
    <w:p>
      <w:pPr>
        <w:pStyle w:val="ListBullet"/>
      </w:pPr>
      <w:r>
        <w:rPr>
          <w:b/>
        </w:rPr>
        <w:t xml:space="preserve">Perceived interaction availability: </w:t>
      </w:r>
      <w:r>
        <w:t>The focal agent represents that relation as present, absent, uncertain, or possible.</w:t>
      </w:r>
    </w:p>
    <w:p>
      <w:pPr>
        <w:pStyle w:val="ListBullet"/>
      </w:pPr>
      <w:r>
        <w:rPr>
          <w:b/>
        </w:rPr>
        <w:t xml:space="preserve">Opportunity representation: </w:t>
      </w:r>
      <w:r>
        <w:t>A typed graph or seed structure describes parties, roles, possible transfers, access conditions, and unresolved variables.</w:t>
      </w:r>
    </w:p>
    <w:p>
      <w:pPr>
        <w:pStyle w:val="ListBullet"/>
      </w:pPr>
      <w:r>
        <w:rPr>
          <w:b/>
        </w:rPr>
        <w:t xml:space="preserve">Interaction policy: </w:t>
      </w:r>
      <w:r>
        <w:t>Π constructs a proposed course of action using one or more represented opportunities.</w:t>
      </w:r>
    </w:p>
    <w:p>
      <w:pPr>
        <w:pStyle w:val="ListBullet"/>
      </w:pPr>
      <w:r>
        <w:rPr>
          <w:b/>
        </w:rPr>
        <w:t xml:space="preserve">Execution and response: </w:t>
      </w:r>
      <w:r>
        <w:t>ε and the environment determine whether the attempted interaction occurs and how counterparties respond.</w:t>
      </w:r>
    </w:p>
    <w:p>
      <w:pPr>
        <w:pStyle w:val="Heading1"/>
      </w:pPr>
      <w:r>
        <w:t>3. No Separate Opportunity Operator</w:t>
      </w:r>
    </w:p>
    <w:p>
      <w:r>
        <w:t>Interaction opportunity discovery is a distributed architectural function. It depends on observation, memory retrieval, information processing, relationship state, institutional standing, and graph construction. It therefore should not be represented as a standalone Ω operator inserted into the canonical sequence.</w:t>
      </w:r>
    </w:p>
    <w:p>
      <w:r>
        <w:t>The canonical sequence remains: PPP -&gt; Φ -&gt; H -&gt; G -&gt; R -&gt; graph/seed substrate -&gt; Π -&gt; completeness validation -&gt; constraints -&gt; domain framing -&gt; adequacy -&gt; Σ -&gt; ε.</w:t>
      </w:r>
    </w:p>
    <w:p>
      <w:pPr>
        <w:pStyle w:val="Heading1"/>
      </w:pPr>
      <w:r>
        <w:t>4. Sources of Opportunity Representation</w:t>
      </w:r>
    </w:p>
    <w:p>
      <w:pPr>
        <w:pStyle w:val="ListBullet"/>
      </w:pPr>
      <w:r>
        <w:t>current observation of agents, entities, resources, signals, or institutional offers;</w:t>
      </w:r>
    </w:p>
    <w:p>
      <w:pPr>
        <w:pStyle w:val="ListBullet"/>
      </w:pPr>
      <w:r>
        <w:t>retrieved relational memory and transfer history;</w:t>
      </w:r>
    </w:p>
    <w:p>
      <w:pPr>
        <w:pStyle w:val="ListBullet"/>
      </w:pPr>
      <w:r>
        <w:t>communications, requests, offers, warnings, and commitments;</w:t>
      </w:r>
    </w:p>
    <w:p>
      <w:pPr>
        <w:pStyle w:val="ListBullet"/>
      </w:pPr>
      <w:r>
        <w:t>institutional standing, permissions, procedures, and access corridors;</w:t>
      </w:r>
    </w:p>
    <w:p>
      <w:pPr>
        <w:pStyle w:val="ListBullet"/>
      </w:pPr>
      <w:r>
        <w:t>inference from environmental structure or counterpart behavior;</w:t>
      </w:r>
    </w:p>
    <w:p>
      <w:pPr>
        <w:pStyle w:val="ListBullet"/>
      </w:pPr>
      <w:r>
        <w:t>previously stored but still-active opportunities and unresolved negotiations.</w:t>
      </w:r>
    </w:p>
    <w:p>
      <w:r>
        <w:t>Each source should retain provenance, time, confidence, and uncertainty where the implementation supports them.</w:t>
      </w:r>
    </w:p>
    <w:p>
      <w:pPr>
        <w:pStyle w:val="Heading1"/>
      </w:pPr>
      <w:r>
        <w:t>5. Typed Opportunity Representation</w:t>
      </w:r>
    </w:p>
    <w:p>
      <w:r>
        <w:t>An opportunity representation should be typed rather than reduced to a generic possibility. Relevant types may include exchange, assistance, coordination, competition, conflict, information transfer, delegation, or institutional access.</w:t>
      </w:r>
    </w:p>
    <w:p>
      <w:r>
        <w:t>A minimal record may contain:</w:t>
      </w:r>
    </w:p>
    <w:p>
      <w:pPr>
        <w:pStyle w:val="ListBullet"/>
      </w:pPr>
      <w:r>
        <w:t>counterparty or entity identifier;</w:t>
      </w:r>
    </w:p>
    <w:p>
      <w:pPr>
        <w:pStyle w:val="ListBullet"/>
      </w:pPr>
      <w:r>
        <w:t>relation or opportunity type;</w:t>
      </w:r>
    </w:p>
    <w:p>
      <w:pPr>
        <w:pStyle w:val="ListBullet"/>
      </w:pPr>
      <w:r>
        <w:t>possible PV flows and relevant PP or SPV dependencies;</w:t>
      </w:r>
    </w:p>
    <w:p>
      <w:pPr>
        <w:pStyle w:val="ListBullet"/>
      </w:pPr>
      <w:r>
        <w:t>role, standing, access, and communication conditions;</w:t>
      </w:r>
    </w:p>
    <w:p>
      <w:pPr>
        <w:pStyle w:val="ListBullet"/>
      </w:pPr>
      <w:r>
        <w:t>known commitments, constraints, or counterpart requirements;</w:t>
      </w:r>
    </w:p>
    <w:p>
      <w:pPr>
        <w:pStyle w:val="ListBullet"/>
      </w:pPr>
      <w:r>
        <w:t>confidence, source, time sensitivity, and expected duration;</w:t>
      </w:r>
    </w:p>
    <w:p>
      <w:pPr>
        <w:pStyle w:val="ListBullet"/>
      </w:pPr>
      <w:r>
        <w:t>open variables requiring negotiation or information gathering.</w:t>
      </w:r>
    </w:p>
    <w:p>
      <w:pPr>
        <w:pStyle w:val="Heading1"/>
      </w:pPr>
      <w:r>
        <w:t>6. Opportunity Versus Policy</w:t>
      </w:r>
    </w:p>
    <w:p>
      <w:r>
        <w:t>An opportunity is not yet a policy. A represented exchange corridor may support several policy families: initiate, request, offer, negotiate, defer, monitor, refuse, or seek more information. Π constructs these variants subject to the current graph and seed structure.</w:t>
      </w:r>
    </w:p>
    <w:p>
      <w:r>
        <w:t>The representation should not prescribe which variant is selected and should not embed a scalar expected-value ranking.</w:t>
      </w:r>
    </w:p>
    <w:p>
      <w:pPr>
        <w:pStyle w:val="Heading1"/>
      </w:pPr>
      <w:r>
        <w:t>7. Architecture Routing</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Architecture surface</w:t>
            </w:r>
          </w:p>
        </w:tc>
        <w:tc>
          <w:tcPr>
            <w:tcW w:type="dxa" w:w="5083"/>
          </w:tcPr>
          <w:p>
            <w:r>
              <w:rPr>
                <w:b/>
              </w:rPr>
              <w:t>Role</w:t>
            </w:r>
          </w:p>
        </w:tc>
      </w:tr>
      <w:tr>
        <w:tc>
          <w:tcPr>
            <w:tcW w:type="dxa" w:w="5083"/>
          </w:tcPr>
          <w:p>
            <w:r>
              <w:t>Perceived state</w:t>
            </w:r>
          </w:p>
        </w:tc>
        <w:tc>
          <w:tcPr>
            <w:tcW w:type="dxa" w:w="5083"/>
          </w:tcPr>
          <w:p>
            <w:r>
              <w:t>Represents observed or inferred counterparties, signals, access, and uncertainty.</w:t>
            </w:r>
          </w:p>
        </w:tc>
      </w:tr>
      <w:tr>
        <w:tc>
          <w:tcPr>
            <w:tcW w:type="dxa" w:w="5083"/>
          </w:tcPr>
          <w:p>
            <w:r>
              <w:t>Memory retrieval</w:t>
            </w:r>
          </w:p>
        </w:tc>
        <w:tc>
          <w:tcPr>
            <w:tcW w:type="dxa" w:w="5083"/>
          </w:tcPr>
          <w:p>
            <w:r>
              <w:t>Supplies prior relational history, commitments, past outcomes, and unresolved interaction state.</w:t>
            </w:r>
          </w:p>
        </w:tc>
      </w:tr>
      <w:tr>
        <w:tc>
          <w:tcPr>
            <w:tcW w:type="dxa" w:w="5083"/>
          </w:tcPr>
          <w:p>
            <w:r>
              <w:t>G and graph/seed substrate</w:t>
            </w:r>
          </w:p>
        </w:tc>
        <w:tc>
          <w:tcPr>
            <w:tcW w:type="dxa" w:w="5083"/>
          </w:tcPr>
          <w:p>
            <w:r>
              <w:t>Create typed nodes, edges, roles, corridors, and policy seeds from relevant information.</w:t>
            </w:r>
          </w:p>
        </w:tc>
      </w:tr>
      <w:tr>
        <w:tc>
          <w:tcPr>
            <w:tcW w:type="dxa" w:w="5083"/>
          </w:tcPr>
          <w:p>
            <w:r>
              <w:t>Π</w:t>
            </w:r>
          </w:p>
        </w:tc>
        <w:tc>
          <w:tcPr>
            <w:tcW w:type="dxa" w:w="5083"/>
          </w:tcPr>
          <w:p>
            <w:r>
              <w:t>Constructs complete policy families from the available seed substrate.</w:t>
            </w:r>
          </w:p>
        </w:tc>
      </w:tr>
      <w:tr>
        <w:tc>
          <w:tcPr>
            <w:tcW w:type="dxa" w:w="5083"/>
          </w:tcPr>
          <w:p>
            <w:r>
              <w:t>Completeness validation</w:t>
            </w:r>
          </w:p>
        </w:tc>
        <w:tc>
          <w:tcPr>
            <w:tcW w:type="dxa" w:w="5083"/>
          </w:tcPr>
          <w:p>
            <w:r>
              <w:t>Tests whether material interaction families or non-interaction alternatives were omitted.</w:t>
            </w:r>
          </w:p>
        </w:tc>
      </w:tr>
      <w:tr>
        <w:tc>
          <w:tcPr>
            <w:tcW w:type="dxa" w:w="5083"/>
          </w:tcPr>
          <w:p>
            <w:r>
              <w:t>Constraints</w:t>
            </w:r>
          </w:p>
        </w:tc>
        <w:tc>
          <w:tcPr>
            <w:tcW w:type="dxa" w:w="5083"/>
          </w:tcPr>
          <w:p>
            <w:r>
              <w:t>Applies physical, institutional, commitment, and other feasibility restrictions.</w:t>
            </w:r>
          </w:p>
        </w:tc>
      </w:tr>
      <w:tr>
        <w:tc>
          <w:tcPr>
            <w:tcW w:type="dxa" w:w="5083"/>
          </w:tcPr>
          <w:p>
            <w:r>
              <w:t>Projection and adequacy</w:t>
            </w:r>
          </w:p>
        </w:tc>
        <w:tc>
          <w:tcPr>
            <w:tcW w:type="dxa" w:w="5083"/>
          </w:tcPr>
          <w:p>
            <w:r>
              <w:t>Represent counterpart response uncertainty, consequences, and viability sufficiency.</w:t>
            </w:r>
          </w:p>
        </w:tc>
      </w:tr>
      <w:tr>
        <w:tc>
          <w:tcPr>
            <w:tcW w:type="dxa" w:w="5083"/>
          </w:tcPr>
          <w:p>
            <w:r>
              <w:t>Σ</w:t>
            </w:r>
          </w:p>
        </w:tc>
        <w:tc>
          <w:tcPr>
            <w:tcW w:type="dxa" w:w="5083"/>
          </w:tcPr>
          <w:p>
            <w:r>
              <w:t>Selects from the structured surviving set without using opportunity admission as hidden preference.</w:t>
            </w:r>
          </w:p>
        </w:tc>
      </w:tr>
      <w:tr>
        <w:tc>
          <w:tcPr>
            <w:tcW w:type="dxa" w:w="5083"/>
          </w:tcPr>
          <w:p>
            <w:r>
              <w:t>ε and execution</w:t>
            </w:r>
          </w:p>
        </w:tc>
        <w:tc>
          <w:tcPr>
            <w:tcW w:type="dxa" w:w="5083"/>
          </w:tcPr>
          <w:p>
            <w:r>
              <w:t>Attempt the selected interaction and realize environmental and counterpart responses.</w:t>
            </w:r>
          </w:p>
        </w:tc>
      </w:tr>
      <w:tr>
        <w:tc>
          <w:tcPr>
            <w:tcW w:type="dxa" w:w="5083"/>
          </w:tcPr>
          <w:p>
            <w:r>
              <w:t>State and memory update</w:t>
            </w:r>
          </w:p>
        </w:tc>
        <w:tc>
          <w:tcPr>
            <w:tcW w:type="dxa" w:w="5083"/>
          </w:tcPr>
          <w:p>
            <w:r>
              <w:t>Record offers, responses, transfers, refusals, commitments, and changed relational state.</w:t>
            </w:r>
          </w:p>
        </w:tc>
      </w:tr>
    </w:tbl>
    <w:p>
      <w:pPr>
        <w:pStyle w:val="Heading1"/>
      </w:pPr>
      <w:r>
        <w:t>8. Opportunity Admission and Boundedness</w:t>
      </w:r>
    </w:p>
    <w:p>
      <w:r>
        <w:t>Large multi-agent environments may produce many possible counterparties and interaction structures. Bounded processing is necessary, but bounding rules must remain explicit and auditable.</w:t>
      </w:r>
    </w:p>
    <w:p>
      <w:pPr>
        <w:pStyle w:val="ListBullet"/>
      </w:pPr>
      <w:r>
        <w:t>relevance to active pressures, horizons, commitments, or current goals;</w:t>
      </w:r>
    </w:p>
    <w:p>
      <w:pPr>
        <w:pStyle w:val="ListBullet"/>
      </w:pPr>
      <w:r>
        <w:t>physical or informational observability;</w:t>
      </w:r>
    </w:p>
    <w:p>
      <w:pPr>
        <w:pStyle w:val="ListBullet"/>
      </w:pPr>
      <w:r>
        <w:t>current relational or institutional accessibility;</w:t>
      </w:r>
    </w:p>
    <w:p>
      <w:pPr>
        <w:pStyle w:val="ListBullet"/>
      </w:pPr>
      <w:r>
        <w:t>time sensitivity and expiration risk;</w:t>
      </w:r>
    </w:p>
    <w:p>
      <w:pPr>
        <w:pStyle w:val="ListBullet"/>
      </w:pPr>
      <w:r>
        <w:t>configured search breadth, memory retrieval limits, and computational budget.</w:t>
      </w:r>
    </w:p>
    <w:p>
      <w:r>
        <w:t>These are search and representation controls, not final policy preferences. A bounded search may miss a real opportunity, and that omission should remain classifiable as a discovery or representation failure.</w:t>
      </w:r>
    </w:p>
    <w:p>
      <w:pPr>
        <w:pStyle w:val="Heading1"/>
      </w:pPr>
      <w:r>
        <w:t>9. Counterparty Willingness and Joint Feasibility</w:t>
      </w:r>
    </w:p>
    <w:p>
      <w:r>
        <w:t>A focal agent cannot infer an executable interaction solely from another entity's holdings or capabilities. Interaction may depend on willingness, compatible terms, communication, authority, timing, trust, commitments, and the counterparty's own policy selection.</w:t>
      </w:r>
    </w:p>
    <w:p>
      <w:r>
        <w:t>Accordingly, the opportunity record may represent a possible corridor while leaving joint feasibility unresolved until signaling, negotiation, or execution.</w:t>
      </w:r>
    </w:p>
    <w:p>
      <w:pPr>
        <w:pStyle w:val="Heading1"/>
      </w:pPr>
      <w:r>
        <w:t>10. Volatility and Closure</w:t>
      </w:r>
    </w:p>
    <w:p>
      <w:r>
        <w:t>Interaction opportunities are time-indexed. They may appear, change, expire, be withdrawn, become inaccessible, or reopen. Projected opportunity loss belongs in reachability and delay analysis; realized loss changes the graph and seed substrate in the next cycle.</w:t>
      </w:r>
    </w:p>
    <w:p>
      <w:pPr>
        <w:pStyle w:val="Heading1"/>
      </w:pPr>
      <w:r>
        <w:t>11. Failure Classes</w:t>
      </w:r>
    </w:p>
    <w:p>
      <w:pPr>
        <w:pStyle w:val="ListBullet"/>
      </w:pPr>
      <w:r>
        <w:rPr>
          <w:b/>
        </w:rPr>
        <w:t xml:space="preserve">Detection failure: </w:t>
      </w:r>
      <w:r>
        <w:t>Relevant external information was not observed.</w:t>
      </w:r>
    </w:p>
    <w:p>
      <w:pPr>
        <w:pStyle w:val="ListBullet"/>
      </w:pPr>
      <w:r>
        <w:rPr>
          <w:b/>
        </w:rPr>
        <w:t xml:space="preserve">Retrieval failure: </w:t>
      </w:r>
      <w:r>
        <w:t>Relevant stored relational information was not retrieved.</w:t>
      </w:r>
    </w:p>
    <w:p>
      <w:pPr>
        <w:pStyle w:val="ListBullet"/>
      </w:pPr>
      <w:r>
        <w:rPr>
          <w:b/>
        </w:rPr>
        <w:t xml:space="preserve">Representation failure: </w:t>
      </w:r>
      <w:r>
        <w:t>Observed information was not encoded as a usable typed relation or seed.</w:t>
      </w:r>
    </w:p>
    <w:p>
      <w:pPr>
        <w:pStyle w:val="ListBullet"/>
      </w:pPr>
      <w:r>
        <w:rPr>
          <w:b/>
        </w:rPr>
        <w:t xml:space="preserve">Construction failure: </w:t>
      </w:r>
      <w:r>
        <w:t>Π failed to generate a material policy family from an available seed.</w:t>
      </w:r>
    </w:p>
    <w:p>
      <w:pPr>
        <w:pStyle w:val="ListBullet"/>
      </w:pPr>
      <w:r>
        <w:rPr>
          <w:b/>
        </w:rPr>
        <w:t xml:space="preserve">Projection failure: </w:t>
      </w:r>
      <w:r>
        <w:t>Counterparty response or consequences were modeled incorrectly.</w:t>
      </w:r>
    </w:p>
    <w:p>
      <w:pPr>
        <w:pStyle w:val="ListBullet"/>
      </w:pPr>
      <w:r>
        <w:rPr>
          <w:b/>
        </w:rPr>
        <w:t xml:space="preserve">Execution failure: </w:t>
      </w:r>
      <w:r>
        <w:t>The selected interaction could not be realized or was rejected by the counterparty.</w:t>
      </w:r>
    </w:p>
    <w:p>
      <w:pPr>
        <w:pStyle w:val="Heading1"/>
      </w:pPr>
      <w:r>
        <w:t>12. Multi-Agent Memory Integration</w:t>
      </w:r>
    </w:p>
    <w:p>
      <w:r>
        <w:t>Opportunity representation should connect to typed relational memory rather than an undifferentiated partner score. Relevant stored content may include prior transfers, commitments, refusals, reliability, unresolved disputes, access history, and confidence in the stored record.</w:t>
      </w:r>
    </w:p>
    <w:p>
      <w:r>
        <w:t>Trust, reputation, avoidance, and cooperation should remain emergent interpretations or behaviors arising from this history and the decision architecture rather than being directly programmed as opportunity rankings.</w:t>
      </w:r>
    </w:p>
    <w:p>
      <w:pPr>
        <w:pStyle w:val="Heading1"/>
      </w:pPr>
      <w:r>
        <w:t>13. Institutional and Collective Context</w:t>
      </w:r>
    </w:p>
    <w:p>
      <w:r>
        <w:t>An opportunity may involve an individual, qualified collective entity, office, market, platform, or rule-governed institutional corridor. The implementation should distinguish the entity being modeled from the institution or procedure through which access occurs.</w:t>
      </w:r>
    </w:p>
    <w:p>
      <w:pPr>
        <w:pStyle w:val="Heading1"/>
      </w:pPr>
      <w:r>
        <w:t>14. Implementation Contract</w:t>
      </w:r>
    </w:p>
    <w:p>
      <w:r>
        <w:t>A valid implementation should make visible:</w:t>
      </w:r>
    </w:p>
    <w:p>
      <w:pPr>
        <w:pStyle w:val="ListBullet"/>
      </w:pPr>
      <w:r>
        <w:t>how the opportunity was detected or inferred;</w:t>
      </w:r>
    </w:p>
    <w:p>
      <w:pPr>
        <w:pStyle w:val="ListBullet"/>
      </w:pPr>
      <w:r>
        <w:t>which memory or institutional records contributed;</w:t>
      </w:r>
    </w:p>
    <w:p>
      <w:pPr>
        <w:pStyle w:val="ListBullet"/>
      </w:pPr>
      <w:r>
        <w:t>its typed relational representation;</w:t>
      </w:r>
    </w:p>
    <w:p>
      <w:pPr>
        <w:pStyle w:val="ListBullet"/>
      </w:pPr>
      <w:r>
        <w:t>why it was admitted to or excluded from the bounded substrate;</w:t>
      </w:r>
    </w:p>
    <w:p>
      <w:pPr>
        <w:pStyle w:val="ListBullet"/>
      </w:pPr>
      <w:r>
        <w:t>which policy families Π constructed from it;</w:t>
      </w:r>
    </w:p>
    <w:p>
      <w:pPr>
        <w:pStyle w:val="ListBullet"/>
      </w:pPr>
      <w:r>
        <w:t>which uncertainties remained unresolved;</w:t>
      </w:r>
    </w:p>
    <w:p>
      <w:pPr>
        <w:pStyle w:val="ListBullet"/>
      </w:pPr>
      <w:r>
        <w:t>what response and transfer actually occurred;</w:t>
      </w:r>
    </w:p>
    <w:p>
      <w:pPr>
        <w:pStyle w:val="ListBullet"/>
      </w:pPr>
      <w:r>
        <w:t>how the graph and relational memory changed afterward.</w:t>
      </w:r>
    </w:p>
    <w:p>
      <w:pPr>
        <w:pStyle w:val="Heading1"/>
      </w:pPr>
      <w:r>
        <w:t>15. Validation Requirements</w:t>
      </w:r>
    </w:p>
    <w:p>
      <w:pPr>
        <w:pStyle w:val="ListBullet"/>
      </w:pPr>
      <w:r>
        <w:t>No interaction policy should appear without a traceable seed or construction basis.</w:t>
      </w:r>
    </w:p>
    <w:p>
      <w:pPr>
        <w:pStyle w:val="ListBullet"/>
      </w:pPr>
      <w:r>
        <w:t>An actual opportunity may be missed without being falsely treated as a Σ selection failure.</w:t>
      </w:r>
    </w:p>
    <w:p>
      <w:pPr>
        <w:pStyle w:val="ListBullet"/>
      </w:pPr>
      <w:r>
        <w:t>Perceived opportunity and actual opportunity must be distinguishable.</w:t>
      </w:r>
    </w:p>
    <w:p>
      <w:pPr>
        <w:pStyle w:val="ListBullet"/>
      </w:pPr>
      <w:r>
        <w:t>Counterparty PP alone must not imply willingness or executability.</w:t>
      </w:r>
    </w:p>
    <w:p>
      <w:pPr>
        <w:pStyle w:val="ListBullet"/>
      </w:pPr>
      <w:r>
        <w:t>Bounding controls must not become hidden utility rankings.</w:t>
      </w:r>
    </w:p>
    <w:p>
      <w:pPr>
        <w:pStyle w:val="ListBullet"/>
      </w:pPr>
      <w:r>
        <w:t>Opportunity expiration and reopening must update the next-cycle graph.</w:t>
      </w:r>
    </w:p>
    <w:p>
      <w:pPr>
        <w:pStyle w:val="ListBullet"/>
      </w:pPr>
      <w:r>
        <w:t>Non-interaction and information-seeking policies must remain constructible where applicable.</w:t>
      </w:r>
    </w:p>
    <w:p>
      <w:pPr>
        <w:pStyle w:val="Heading1"/>
      </w:pPr>
      <w:r>
        <w:t>16. Boundaries</w:t>
      </w:r>
    </w:p>
    <w:p>
      <w:pPr>
        <w:pStyle w:val="ListBullet"/>
      </w:pPr>
      <w:r>
        <w:t>This specification does not define a negotiation protocol.</w:t>
      </w:r>
    </w:p>
    <w:p>
      <w:pPr>
        <w:pStyle w:val="ListBullet"/>
      </w:pPr>
      <w:r>
        <w:t>It does not define a universal partner-ranking metric.</w:t>
      </w:r>
    </w:p>
    <w:p>
      <w:pPr>
        <w:pStyle w:val="ListBullet"/>
      </w:pPr>
      <w:r>
        <w:t>It does not make trust or reputation primitive variables.</w:t>
      </w:r>
    </w:p>
    <w:p>
      <w:pPr>
        <w:pStyle w:val="ListBullet"/>
      </w:pPr>
      <w:r>
        <w:t>It does not bypass Π completeness validation or the canonical Constraint System.</w:t>
      </w:r>
    </w:p>
    <w:p>
      <w:pPr>
        <w:pStyle w:val="ListBullet"/>
      </w:pPr>
      <w:r>
        <w:t>It introduces no new operator and no scalar preference function.</w:t>
      </w:r>
    </w:p>
    <w:p>
      <w:pPr>
        <w:pStyle w:val="Heading1"/>
      </w:pPr>
      <w:r>
        <w:t>17. Authority and Status</w:t>
      </w:r>
    </w:p>
    <w:p>
      <w:r>
        <w:t>Version 0.1 is the active supporting specification for interaction opportunity discovery, representation, and policy seeding. It supersedes the legacy working draft for current use and remains subordinate to the canonical operator, graph, policy-construction, constraint, and execution files.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Interaction Opportunity Discovery, Representation, and Policy Seeding - Active Supporting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